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4AF" w:rsidRDefault="005304AF" w:rsidP="00241FF2">
      <w:pPr>
        <w:pStyle w:val="ConsPlusNormal"/>
        <w:ind w:left="5664" w:firstLine="708"/>
        <w:jc w:val="both"/>
        <w:rPr>
          <w:rFonts w:ascii="Times New Roman" w:hAnsi="Times New Roman" w:cs="Times New Roman"/>
          <w:sz w:val="20"/>
          <w:szCs w:val="20"/>
        </w:rPr>
      </w:pPr>
    </w:p>
    <w:p w:rsidR="005304AF" w:rsidRPr="00B71213" w:rsidRDefault="005304AF" w:rsidP="005304AF">
      <w:pPr>
        <w:jc w:val="right"/>
        <w:rPr>
          <w:i/>
          <w:color w:val="000000"/>
          <w:sz w:val="27"/>
          <w:szCs w:val="27"/>
        </w:rPr>
      </w:pPr>
    </w:p>
    <w:p w:rsidR="002046E8" w:rsidRDefault="002046E8" w:rsidP="002046E8">
      <w:pPr>
        <w:pStyle w:val="ConsPlusNormal"/>
        <w:ind w:left="5664" w:firstLine="708"/>
        <w:jc w:val="both"/>
        <w:rPr>
          <w:rFonts w:ascii="Times New Roman" w:hAnsi="Times New Roman" w:cs="Times New Roman"/>
          <w:sz w:val="20"/>
          <w:szCs w:val="20"/>
        </w:rPr>
      </w:pPr>
    </w:p>
    <w:p w:rsidR="002046E8" w:rsidRPr="00B71213" w:rsidRDefault="002046E8" w:rsidP="002046E8">
      <w:pPr>
        <w:jc w:val="right"/>
        <w:rPr>
          <w:i/>
          <w:color w:val="000000"/>
          <w:sz w:val="27"/>
          <w:szCs w:val="27"/>
        </w:rPr>
      </w:pPr>
    </w:p>
    <w:p w:rsidR="002046E8" w:rsidRPr="00D526EB" w:rsidRDefault="002046E8" w:rsidP="002046E8">
      <w:pPr>
        <w:jc w:val="center"/>
        <w:rPr>
          <w:b/>
          <w:bCs/>
          <w:sz w:val="32"/>
          <w:szCs w:val="32"/>
        </w:rPr>
      </w:pPr>
      <w:r w:rsidRPr="00D526EB">
        <w:rPr>
          <w:b/>
          <w:bCs/>
          <w:sz w:val="32"/>
          <w:szCs w:val="32"/>
        </w:rPr>
        <w:t>ТЕРРИТОРИАЛЬНАЯ ИЗБИРАТЕЛЬНАЯ КОМИССИЯ</w:t>
      </w:r>
    </w:p>
    <w:p w:rsidR="002046E8" w:rsidRPr="00D526EB" w:rsidRDefault="002046E8" w:rsidP="002046E8">
      <w:pPr>
        <w:jc w:val="center"/>
        <w:rPr>
          <w:b/>
          <w:bCs/>
          <w:sz w:val="32"/>
          <w:szCs w:val="32"/>
        </w:rPr>
      </w:pPr>
      <w:r>
        <w:rPr>
          <w:b/>
          <w:bCs/>
          <w:sz w:val="32"/>
          <w:szCs w:val="32"/>
        </w:rPr>
        <w:t>ХЛЕВЕНСКОГО</w:t>
      </w:r>
      <w:r w:rsidRPr="00D526EB">
        <w:rPr>
          <w:b/>
          <w:bCs/>
          <w:sz w:val="32"/>
          <w:szCs w:val="32"/>
        </w:rPr>
        <w:t xml:space="preserve"> РАЙОНА </w:t>
      </w:r>
    </w:p>
    <w:p w:rsidR="002046E8" w:rsidRPr="00D526EB" w:rsidRDefault="002046E8" w:rsidP="002046E8">
      <w:pPr>
        <w:jc w:val="center"/>
        <w:rPr>
          <w:b/>
          <w:bCs/>
          <w:sz w:val="32"/>
          <w:szCs w:val="32"/>
        </w:rPr>
      </w:pPr>
    </w:p>
    <w:p w:rsidR="002046E8" w:rsidRPr="00123573" w:rsidRDefault="002046E8" w:rsidP="002046E8">
      <w:pPr>
        <w:keepNext/>
        <w:spacing w:after="240"/>
        <w:jc w:val="center"/>
        <w:outlineLvl w:val="0"/>
        <w:rPr>
          <w:rFonts w:cs="Arial"/>
          <w:b/>
          <w:spacing w:val="80"/>
          <w:kern w:val="32"/>
          <w:sz w:val="32"/>
          <w:szCs w:val="32"/>
        </w:rPr>
      </w:pPr>
      <w:r w:rsidRPr="00123573">
        <w:rPr>
          <w:rFonts w:cs="Arial"/>
          <w:b/>
          <w:spacing w:val="80"/>
          <w:kern w:val="32"/>
          <w:sz w:val="32"/>
          <w:szCs w:val="32"/>
        </w:rPr>
        <w:t>ПОСТАНОВЛЕНИЕ</w:t>
      </w:r>
    </w:p>
    <w:tbl>
      <w:tblPr>
        <w:tblW w:w="5000" w:type="pct"/>
        <w:tblLook w:val="0000" w:firstRow="0" w:lastRow="0" w:firstColumn="0" w:lastColumn="0" w:noHBand="0" w:noVBand="0"/>
      </w:tblPr>
      <w:tblGrid>
        <w:gridCol w:w="4046"/>
        <w:gridCol w:w="3122"/>
        <w:gridCol w:w="1409"/>
        <w:gridCol w:w="1060"/>
      </w:tblGrid>
      <w:tr w:rsidR="002046E8" w:rsidRPr="00D526EB" w:rsidTr="00E97717">
        <w:tc>
          <w:tcPr>
            <w:tcW w:w="2099" w:type="pct"/>
          </w:tcPr>
          <w:p w:rsidR="002046E8" w:rsidRPr="00123573" w:rsidRDefault="00123573" w:rsidP="00E97717">
            <w:pPr>
              <w:rPr>
                <w:color w:val="000000"/>
                <w:sz w:val="28"/>
                <w:szCs w:val="28"/>
              </w:rPr>
            </w:pPr>
            <w:r w:rsidRPr="00123573">
              <w:rPr>
                <w:color w:val="000000"/>
                <w:sz w:val="28"/>
                <w:szCs w:val="28"/>
              </w:rPr>
              <w:t>17</w:t>
            </w:r>
            <w:r w:rsidR="002046E8" w:rsidRPr="00123573">
              <w:rPr>
                <w:color w:val="000000"/>
                <w:sz w:val="28"/>
                <w:szCs w:val="28"/>
              </w:rPr>
              <w:t xml:space="preserve"> июня 2025 года</w:t>
            </w:r>
            <w:r w:rsidR="001F7EDE" w:rsidRPr="00123573">
              <w:rPr>
                <w:color w:val="000000"/>
                <w:sz w:val="28"/>
                <w:szCs w:val="28"/>
              </w:rPr>
              <w:t xml:space="preserve"> </w:t>
            </w:r>
            <w:r w:rsidR="00765D4B" w:rsidRPr="00123573">
              <w:rPr>
                <w:color w:val="000000"/>
                <w:sz w:val="28"/>
                <w:szCs w:val="28"/>
              </w:rPr>
              <w:t xml:space="preserve"> </w:t>
            </w:r>
            <w:r w:rsidR="00031877" w:rsidRPr="00123573">
              <w:rPr>
                <w:color w:val="000000"/>
                <w:sz w:val="28"/>
                <w:szCs w:val="28"/>
              </w:rPr>
              <w:t xml:space="preserve"> </w:t>
            </w:r>
            <w:r w:rsidR="00D739E2" w:rsidRPr="00123573">
              <w:rPr>
                <w:color w:val="000000"/>
                <w:sz w:val="28"/>
                <w:szCs w:val="28"/>
              </w:rPr>
              <w:t xml:space="preserve"> </w:t>
            </w:r>
          </w:p>
        </w:tc>
        <w:tc>
          <w:tcPr>
            <w:tcW w:w="1620" w:type="pct"/>
          </w:tcPr>
          <w:p w:rsidR="002046E8" w:rsidRPr="00123573" w:rsidRDefault="002046E8" w:rsidP="00E97717">
            <w:pPr>
              <w:jc w:val="center"/>
              <w:rPr>
                <w:color w:val="000000"/>
                <w:sz w:val="28"/>
                <w:szCs w:val="28"/>
              </w:rPr>
            </w:pPr>
          </w:p>
        </w:tc>
        <w:tc>
          <w:tcPr>
            <w:tcW w:w="731" w:type="pct"/>
          </w:tcPr>
          <w:p w:rsidR="002046E8" w:rsidRPr="00123573" w:rsidRDefault="002046E8" w:rsidP="00E97717">
            <w:pPr>
              <w:jc w:val="right"/>
              <w:rPr>
                <w:color w:val="000000"/>
                <w:sz w:val="28"/>
                <w:szCs w:val="28"/>
              </w:rPr>
            </w:pPr>
            <w:r w:rsidRPr="00123573">
              <w:rPr>
                <w:color w:val="000000"/>
                <w:sz w:val="28"/>
                <w:szCs w:val="28"/>
              </w:rPr>
              <w:t xml:space="preserve">      № </w:t>
            </w:r>
          </w:p>
        </w:tc>
        <w:tc>
          <w:tcPr>
            <w:tcW w:w="550" w:type="pct"/>
          </w:tcPr>
          <w:p w:rsidR="002046E8" w:rsidRPr="00D526EB" w:rsidRDefault="00C8114A" w:rsidP="002046E8">
            <w:pPr>
              <w:jc w:val="center"/>
              <w:rPr>
                <w:color w:val="000000"/>
                <w:sz w:val="28"/>
                <w:szCs w:val="28"/>
              </w:rPr>
            </w:pPr>
            <w:r w:rsidRPr="00123573">
              <w:rPr>
                <w:color w:val="000000"/>
                <w:sz w:val="28"/>
                <w:szCs w:val="28"/>
              </w:rPr>
              <w:t>81</w:t>
            </w:r>
            <w:r w:rsidR="002046E8" w:rsidRPr="00123573">
              <w:rPr>
                <w:color w:val="000000"/>
                <w:sz w:val="28"/>
                <w:szCs w:val="28"/>
              </w:rPr>
              <w:t>/297</w:t>
            </w:r>
          </w:p>
        </w:tc>
      </w:tr>
    </w:tbl>
    <w:p w:rsidR="002046E8" w:rsidRPr="00D526EB" w:rsidRDefault="002046E8" w:rsidP="002046E8">
      <w:pPr>
        <w:jc w:val="center"/>
        <w:rPr>
          <w:color w:val="000000"/>
        </w:rPr>
      </w:pPr>
      <w:r w:rsidRPr="00D526EB">
        <w:rPr>
          <w:color w:val="000000"/>
        </w:rPr>
        <w:t xml:space="preserve">с. </w:t>
      </w:r>
      <w:proofErr w:type="spellStart"/>
      <w:r>
        <w:rPr>
          <w:color w:val="000000"/>
        </w:rPr>
        <w:t>Хлевное</w:t>
      </w:r>
      <w:proofErr w:type="spellEnd"/>
    </w:p>
    <w:p w:rsidR="002046E8" w:rsidRPr="00C43C54" w:rsidRDefault="002046E8" w:rsidP="002046E8">
      <w:pPr>
        <w:jc w:val="center"/>
        <w:rPr>
          <w:color w:val="000000"/>
          <w:sz w:val="16"/>
          <w:szCs w:val="16"/>
        </w:rPr>
      </w:pPr>
    </w:p>
    <w:p w:rsidR="005304AF" w:rsidRPr="00F64BB7" w:rsidRDefault="005304AF" w:rsidP="005304AF">
      <w:pPr>
        <w:pStyle w:val="ConsPlusTitle"/>
        <w:jc w:val="center"/>
        <w:rPr>
          <w:rFonts w:ascii="Times New Roman" w:hAnsi="Times New Roman" w:cs="Times New Roman"/>
          <w:b w:val="0"/>
          <w:sz w:val="28"/>
          <w:szCs w:val="28"/>
        </w:rPr>
      </w:pPr>
    </w:p>
    <w:p w:rsidR="002046E8" w:rsidRDefault="002046E8" w:rsidP="002046E8">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 xml:space="preserve">территориальной избирательной </w:t>
      </w:r>
      <w:r w:rsidRPr="002D7122">
        <w:rPr>
          <w:rFonts w:ascii="Times New Roman" w:hAnsi="Times New Roman" w:cs="Times New Roman"/>
          <w:b/>
          <w:sz w:val="28"/>
          <w:szCs w:val="28"/>
        </w:rPr>
        <w:t xml:space="preserve">комиссии </w:t>
      </w:r>
      <w:proofErr w:type="spellStart"/>
      <w:r>
        <w:rPr>
          <w:rFonts w:ascii="Times New Roman" w:hAnsi="Times New Roman" w:cs="Times New Roman"/>
          <w:b/>
          <w:sz w:val="28"/>
          <w:szCs w:val="28"/>
        </w:rPr>
        <w:t>Хлевенского</w:t>
      </w:r>
      <w:proofErr w:type="spellEnd"/>
      <w:r w:rsidRPr="002D7122">
        <w:rPr>
          <w:rFonts w:ascii="Times New Roman" w:hAnsi="Times New Roman" w:cs="Times New Roman"/>
          <w:b/>
          <w:sz w:val="28"/>
          <w:szCs w:val="28"/>
        </w:rPr>
        <w:t xml:space="preserve"> района,</w:t>
      </w:r>
      <w:r>
        <w:rPr>
          <w:rFonts w:ascii="Times New Roman" w:hAnsi="Times New Roman" w:cs="Times New Roman"/>
          <w:b/>
          <w:sz w:val="28"/>
          <w:szCs w:val="28"/>
        </w:rPr>
        <w:t xml:space="preserve"> </w:t>
      </w:r>
    </w:p>
    <w:p w:rsidR="002046E8" w:rsidRDefault="002046E8" w:rsidP="002046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B00D44">
        <w:rPr>
          <w:b/>
          <w:bCs/>
          <w:sz w:val="28"/>
          <w:szCs w:val="28"/>
        </w:rPr>
        <w:t xml:space="preserve">при подготовке и проведении </w:t>
      </w:r>
      <w:r>
        <w:rPr>
          <w:b/>
          <w:bCs/>
          <w:sz w:val="28"/>
          <w:szCs w:val="28"/>
        </w:rPr>
        <w:t xml:space="preserve">выборов </w:t>
      </w:r>
      <w:r>
        <w:rPr>
          <w:b/>
          <w:sz w:val="28"/>
          <w:szCs w:val="28"/>
        </w:rPr>
        <w:t xml:space="preserve">депутатов Совета депутатов </w:t>
      </w:r>
      <w:proofErr w:type="spellStart"/>
      <w:r>
        <w:rPr>
          <w:b/>
          <w:sz w:val="28"/>
          <w:szCs w:val="28"/>
        </w:rPr>
        <w:t>Хлевенского</w:t>
      </w:r>
      <w:proofErr w:type="spellEnd"/>
      <w:r>
        <w:rPr>
          <w:b/>
          <w:sz w:val="28"/>
          <w:szCs w:val="28"/>
        </w:rPr>
        <w:t xml:space="preserve"> муниципального округа Липецкой области Российской Федерации первого созыва</w:t>
      </w:r>
    </w:p>
    <w:p w:rsidR="002046E8" w:rsidRDefault="002046E8" w:rsidP="002046E8">
      <w:pPr>
        <w:pStyle w:val="ConsPlusNormal"/>
        <w:jc w:val="center"/>
        <w:rPr>
          <w:rFonts w:ascii="Times New Roman" w:hAnsi="Times New Roman" w:cs="Times New Roman"/>
          <w:b/>
          <w:bCs/>
          <w:sz w:val="28"/>
          <w:szCs w:val="28"/>
        </w:rPr>
      </w:pPr>
    </w:p>
    <w:p w:rsidR="002046E8" w:rsidRDefault="002046E8" w:rsidP="002046E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14 сентября 2025 года</w:t>
      </w:r>
    </w:p>
    <w:p w:rsidR="00401484" w:rsidRDefault="00401484" w:rsidP="005304AF">
      <w:pPr>
        <w:pStyle w:val="ConsPlusNormal"/>
        <w:jc w:val="center"/>
        <w:rPr>
          <w:rFonts w:ascii="Times New Roman" w:hAnsi="Times New Roman" w:cs="Times New Roman"/>
          <w:b/>
          <w:bCs/>
          <w:sz w:val="28"/>
          <w:szCs w:val="28"/>
        </w:rPr>
      </w:pPr>
    </w:p>
    <w:p w:rsidR="005304AF" w:rsidRPr="002046E8" w:rsidRDefault="005304AF" w:rsidP="002046E8">
      <w:pPr>
        <w:autoSpaceDE w:val="0"/>
        <w:autoSpaceDN w:val="0"/>
        <w:adjustRightInd w:val="0"/>
        <w:ind w:firstLine="709"/>
        <w:jc w:val="both"/>
        <w:rPr>
          <w:sz w:val="28"/>
          <w:szCs w:val="28"/>
        </w:rPr>
      </w:pPr>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proofErr w:type="spellStart"/>
      <w:r w:rsidR="002046E8">
        <w:rPr>
          <w:sz w:val="28"/>
          <w:szCs w:val="28"/>
        </w:rPr>
        <w:t>Хлевенского</w:t>
      </w:r>
      <w:proofErr w:type="spellEnd"/>
      <w:r w:rsidR="002046E8">
        <w:rPr>
          <w:sz w:val="28"/>
          <w:szCs w:val="28"/>
        </w:rPr>
        <w:t xml:space="preserve"> района</w:t>
      </w:r>
      <w:r w:rsidR="00401484" w:rsidRPr="005304AF">
        <w:rPr>
          <w:i/>
          <w:sz w:val="28"/>
          <w:szCs w:val="28"/>
        </w:rPr>
        <w:t>,</w:t>
      </w:r>
      <w:r>
        <w:rPr>
          <w:sz w:val="28"/>
          <w:szCs w:val="28"/>
        </w:rPr>
        <w:t xml:space="preserve"> </w:t>
      </w:r>
      <w:r w:rsidRPr="001226D2">
        <w:rPr>
          <w:b/>
          <w:sz w:val="28"/>
          <w:szCs w:val="28"/>
        </w:rPr>
        <w:t>постановляет:</w:t>
      </w:r>
    </w:p>
    <w:p w:rsidR="005304AF" w:rsidRDefault="005304AF" w:rsidP="002046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F64BB7">
        <w:rPr>
          <w:sz w:val="28"/>
          <w:szCs w:val="28"/>
        </w:rPr>
        <w:t xml:space="preserve">Утвердить </w:t>
      </w:r>
      <w:hyperlink w:anchor="P39">
        <w:r w:rsidRPr="00F64BB7">
          <w:rPr>
            <w:sz w:val="28"/>
            <w:szCs w:val="28"/>
          </w:rPr>
          <w:t>Порядок</w:t>
        </w:r>
      </w:hyperlink>
      <w:r w:rsidRPr="00F64BB7">
        <w:rPr>
          <w:sz w:val="28"/>
          <w:szCs w:val="28"/>
        </w:rPr>
        <w:t xml:space="preserve"> осуществления закупок товаров, работ, услуг </w:t>
      </w:r>
      <w:r>
        <w:rPr>
          <w:sz w:val="28"/>
          <w:szCs w:val="28"/>
        </w:rPr>
        <w:t>территориальной избирательной комиссии</w:t>
      </w:r>
      <w:r w:rsidR="002046E8">
        <w:rPr>
          <w:sz w:val="28"/>
          <w:szCs w:val="28"/>
        </w:rPr>
        <w:t xml:space="preserve"> </w:t>
      </w:r>
      <w:proofErr w:type="spellStart"/>
      <w:r w:rsidR="002046E8">
        <w:rPr>
          <w:sz w:val="28"/>
          <w:szCs w:val="28"/>
        </w:rPr>
        <w:t>Хлевенского</w:t>
      </w:r>
      <w:proofErr w:type="spellEnd"/>
      <w:r w:rsidR="002046E8">
        <w:rPr>
          <w:sz w:val="28"/>
          <w:szCs w:val="28"/>
        </w:rPr>
        <w:t xml:space="preserve"> района</w:t>
      </w:r>
      <w:r w:rsidRPr="005304AF">
        <w:rPr>
          <w:i/>
          <w:sz w:val="28"/>
          <w:szCs w:val="28"/>
        </w:rPr>
        <w:t>,</w:t>
      </w:r>
      <w:r>
        <w:rPr>
          <w:sz w:val="28"/>
          <w:szCs w:val="28"/>
        </w:rPr>
        <w:t xml:space="preserve"> при подготовке и проведении выборов </w:t>
      </w:r>
      <w:r w:rsidR="002046E8" w:rsidRPr="002D7122">
        <w:rPr>
          <w:sz w:val="28"/>
          <w:szCs w:val="28"/>
        </w:rPr>
        <w:t xml:space="preserve">депутатов Совета депутатов </w:t>
      </w:r>
      <w:proofErr w:type="spellStart"/>
      <w:r w:rsidR="002046E8">
        <w:rPr>
          <w:sz w:val="28"/>
          <w:szCs w:val="28"/>
        </w:rPr>
        <w:t>Хлевенского</w:t>
      </w:r>
      <w:proofErr w:type="spellEnd"/>
      <w:r w:rsidR="002046E8" w:rsidRPr="002D7122">
        <w:rPr>
          <w:sz w:val="28"/>
          <w:szCs w:val="28"/>
        </w:rPr>
        <w:t xml:space="preserve"> муниципального округа Липецкой области Российской Федерации первого созыва</w:t>
      </w:r>
      <w:r w:rsidR="002046E8">
        <w:rPr>
          <w:sz w:val="28"/>
          <w:szCs w:val="28"/>
        </w:rPr>
        <w:t xml:space="preserve"> </w:t>
      </w:r>
      <w:r w:rsidR="002046E8" w:rsidRPr="00F64BB7">
        <w:rPr>
          <w:sz w:val="28"/>
          <w:szCs w:val="28"/>
        </w:rPr>
        <w:t>(прилагается).</w:t>
      </w:r>
    </w:p>
    <w:p w:rsidR="005304AF" w:rsidRPr="00F64BB7" w:rsidRDefault="005304AF" w:rsidP="005304AF">
      <w:pPr>
        <w:pStyle w:val="ConsPlusNormal"/>
        <w:ind w:left="709"/>
        <w:jc w:val="both"/>
        <w:rPr>
          <w:rFonts w:ascii="Times New Roman" w:hAnsi="Times New Roman" w:cs="Times New Roman"/>
          <w:sz w:val="28"/>
          <w:szCs w:val="28"/>
        </w:rPr>
      </w:pPr>
    </w:p>
    <w:tbl>
      <w:tblPr>
        <w:tblW w:w="5000" w:type="pct"/>
        <w:tblLayout w:type="fixed"/>
        <w:tblCellMar>
          <w:left w:w="70" w:type="dxa"/>
          <w:right w:w="70" w:type="dxa"/>
        </w:tblCellMar>
        <w:tblLook w:val="0000" w:firstRow="0" w:lastRow="0" w:firstColumn="0" w:lastColumn="0" w:noHBand="0" w:noVBand="0"/>
      </w:tblPr>
      <w:tblGrid>
        <w:gridCol w:w="4965"/>
        <w:gridCol w:w="1725"/>
        <w:gridCol w:w="2947"/>
      </w:tblGrid>
      <w:tr w:rsidR="002046E8" w:rsidRPr="00D526EB" w:rsidTr="00E97717">
        <w:tc>
          <w:tcPr>
            <w:tcW w:w="2576" w:type="pct"/>
          </w:tcPr>
          <w:p w:rsidR="002046E8" w:rsidRPr="00D526EB" w:rsidRDefault="002046E8" w:rsidP="002046E8">
            <w:pPr>
              <w:tabs>
                <w:tab w:val="left" w:pos="-2250"/>
              </w:tabs>
              <w:rPr>
                <w:b/>
              </w:rPr>
            </w:pPr>
            <w:r w:rsidRPr="00D526EB">
              <w:rPr>
                <w:b/>
              </w:rPr>
              <w:t xml:space="preserve">ПРЕДСЕДАТЕЛЬ ТЕРРИТОРИАЛЬНОЙ ИЗБИРАТЕЛЬНОЙ КОМИССИИ </w:t>
            </w:r>
            <w:r>
              <w:rPr>
                <w:rFonts w:eastAsia="MS Mincho"/>
                <w:b/>
              </w:rPr>
              <w:t>ХЛЕВЕНСКОГО</w:t>
            </w:r>
            <w:r w:rsidRPr="00D526EB">
              <w:rPr>
                <w:rFonts w:eastAsia="MS Mincho"/>
                <w:b/>
              </w:rPr>
              <w:t xml:space="preserve"> РАЙОНА</w:t>
            </w:r>
          </w:p>
        </w:tc>
        <w:tc>
          <w:tcPr>
            <w:tcW w:w="895" w:type="pct"/>
          </w:tcPr>
          <w:p w:rsidR="002046E8" w:rsidRPr="00D526EB" w:rsidRDefault="002046E8" w:rsidP="00E97717">
            <w:pPr>
              <w:tabs>
                <w:tab w:val="left" w:pos="-2250"/>
              </w:tabs>
              <w:ind w:left="1908"/>
              <w:rPr>
                <w:b/>
              </w:rPr>
            </w:pPr>
          </w:p>
        </w:tc>
        <w:tc>
          <w:tcPr>
            <w:tcW w:w="1529" w:type="pct"/>
          </w:tcPr>
          <w:p w:rsidR="002046E8" w:rsidRPr="00D526EB" w:rsidRDefault="002046E8" w:rsidP="00E97717">
            <w:pPr>
              <w:tabs>
                <w:tab w:val="left" w:pos="-2250"/>
              </w:tabs>
              <w:ind w:left="70"/>
              <w:rPr>
                <w:b/>
              </w:rPr>
            </w:pPr>
          </w:p>
          <w:p w:rsidR="002046E8" w:rsidRPr="00D526EB" w:rsidRDefault="002046E8" w:rsidP="00E97717">
            <w:pPr>
              <w:tabs>
                <w:tab w:val="left" w:pos="-2250"/>
              </w:tabs>
              <w:ind w:left="70"/>
              <w:rPr>
                <w:b/>
              </w:rPr>
            </w:pPr>
          </w:p>
          <w:p w:rsidR="002046E8" w:rsidRPr="00D526EB" w:rsidRDefault="002046E8" w:rsidP="002046E8">
            <w:pPr>
              <w:tabs>
                <w:tab w:val="left" w:pos="-2250"/>
              </w:tabs>
              <w:ind w:left="70"/>
              <w:rPr>
                <w:b/>
              </w:rPr>
            </w:pPr>
            <w:r>
              <w:rPr>
                <w:b/>
              </w:rPr>
              <w:t>Л</w:t>
            </w:r>
            <w:r w:rsidRPr="00D526EB">
              <w:rPr>
                <w:b/>
              </w:rPr>
              <w:t>.</w:t>
            </w:r>
            <w:r>
              <w:rPr>
                <w:b/>
              </w:rPr>
              <w:t>А</w:t>
            </w:r>
            <w:r w:rsidRPr="00D526EB">
              <w:rPr>
                <w:b/>
              </w:rPr>
              <w:t xml:space="preserve">. </w:t>
            </w:r>
            <w:r>
              <w:rPr>
                <w:b/>
              </w:rPr>
              <w:t>ПАЛЬЧИКОВА</w:t>
            </w:r>
          </w:p>
        </w:tc>
      </w:tr>
      <w:tr w:rsidR="002046E8" w:rsidRPr="00D526EB" w:rsidTr="00E97717">
        <w:tc>
          <w:tcPr>
            <w:tcW w:w="2576" w:type="pct"/>
          </w:tcPr>
          <w:p w:rsidR="002046E8" w:rsidRPr="00D526EB" w:rsidRDefault="002046E8" w:rsidP="00E97717">
            <w:pPr>
              <w:tabs>
                <w:tab w:val="left" w:pos="-2250"/>
              </w:tabs>
              <w:rPr>
                <w:b/>
              </w:rPr>
            </w:pPr>
          </w:p>
        </w:tc>
        <w:tc>
          <w:tcPr>
            <w:tcW w:w="895" w:type="pct"/>
          </w:tcPr>
          <w:p w:rsidR="002046E8" w:rsidRPr="00D526EB" w:rsidRDefault="002046E8" w:rsidP="00E97717">
            <w:pPr>
              <w:tabs>
                <w:tab w:val="left" w:pos="-2250"/>
              </w:tabs>
              <w:ind w:left="1908"/>
              <w:rPr>
                <w:b/>
              </w:rPr>
            </w:pPr>
          </w:p>
        </w:tc>
        <w:tc>
          <w:tcPr>
            <w:tcW w:w="1529" w:type="pct"/>
          </w:tcPr>
          <w:p w:rsidR="002046E8" w:rsidRPr="00D526EB" w:rsidRDefault="002046E8" w:rsidP="00E97717">
            <w:pPr>
              <w:tabs>
                <w:tab w:val="left" w:pos="-2250"/>
              </w:tabs>
              <w:ind w:left="1908"/>
              <w:rPr>
                <w:b/>
              </w:rPr>
            </w:pPr>
          </w:p>
        </w:tc>
      </w:tr>
      <w:tr w:rsidR="002046E8" w:rsidRPr="00D526EB" w:rsidTr="00E97717">
        <w:tc>
          <w:tcPr>
            <w:tcW w:w="2576" w:type="pct"/>
          </w:tcPr>
          <w:p w:rsidR="002046E8" w:rsidRPr="00D526EB" w:rsidRDefault="002046E8" w:rsidP="002046E8">
            <w:pPr>
              <w:tabs>
                <w:tab w:val="left" w:pos="-2250"/>
              </w:tabs>
              <w:rPr>
                <w:b/>
              </w:rPr>
            </w:pPr>
            <w:r w:rsidRPr="00D526EB">
              <w:rPr>
                <w:b/>
              </w:rPr>
              <w:t xml:space="preserve">СЕКРЕТАРЬ ТЕРРИТОРИАЛЬНОЙ ИЗБИРАТЕЛЬНОЙ КОМИССИИ </w:t>
            </w:r>
            <w:r>
              <w:rPr>
                <w:rFonts w:eastAsia="MS Mincho"/>
                <w:b/>
              </w:rPr>
              <w:t>ХЛЕВЕНСКОГО</w:t>
            </w:r>
            <w:r w:rsidRPr="00D526EB">
              <w:rPr>
                <w:rFonts w:eastAsia="MS Mincho"/>
                <w:b/>
              </w:rPr>
              <w:t xml:space="preserve"> РАЙОНА</w:t>
            </w:r>
          </w:p>
        </w:tc>
        <w:tc>
          <w:tcPr>
            <w:tcW w:w="895" w:type="pct"/>
          </w:tcPr>
          <w:p w:rsidR="002046E8" w:rsidRPr="00D526EB" w:rsidRDefault="002046E8" w:rsidP="00E97717">
            <w:pPr>
              <w:tabs>
                <w:tab w:val="left" w:pos="-2250"/>
              </w:tabs>
              <w:ind w:left="1908"/>
              <w:rPr>
                <w:b/>
              </w:rPr>
            </w:pPr>
          </w:p>
        </w:tc>
        <w:tc>
          <w:tcPr>
            <w:tcW w:w="1529" w:type="pct"/>
          </w:tcPr>
          <w:p w:rsidR="002046E8" w:rsidRPr="00D526EB" w:rsidRDefault="002046E8" w:rsidP="00E97717">
            <w:pPr>
              <w:tabs>
                <w:tab w:val="left" w:pos="-2250"/>
              </w:tabs>
              <w:ind w:left="1908"/>
              <w:rPr>
                <w:b/>
              </w:rPr>
            </w:pPr>
          </w:p>
          <w:p w:rsidR="002046E8" w:rsidRPr="00D526EB" w:rsidRDefault="002046E8" w:rsidP="00E97717">
            <w:pPr>
              <w:tabs>
                <w:tab w:val="left" w:pos="-2250"/>
              </w:tabs>
              <w:ind w:left="70"/>
              <w:rPr>
                <w:b/>
              </w:rPr>
            </w:pPr>
          </w:p>
          <w:p w:rsidR="002046E8" w:rsidRPr="00D526EB" w:rsidRDefault="002046E8" w:rsidP="002046E8">
            <w:pPr>
              <w:tabs>
                <w:tab w:val="left" w:pos="-2250"/>
              </w:tabs>
              <w:ind w:left="70"/>
              <w:rPr>
                <w:b/>
              </w:rPr>
            </w:pPr>
            <w:r>
              <w:rPr>
                <w:b/>
              </w:rPr>
              <w:t>И</w:t>
            </w:r>
            <w:r w:rsidRPr="00D526EB">
              <w:rPr>
                <w:b/>
              </w:rPr>
              <w:t>.</w:t>
            </w:r>
            <w:r>
              <w:rPr>
                <w:b/>
              </w:rPr>
              <w:t>А</w:t>
            </w:r>
            <w:r w:rsidRPr="00D526EB">
              <w:rPr>
                <w:b/>
              </w:rPr>
              <w:t xml:space="preserve">. </w:t>
            </w:r>
            <w:r>
              <w:rPr>
                <w:b/>
              </w:rPr>
              <w:t>РОДИОНОВА</w:t>
            </w:r>
          </w:p>
        </w:tc>
      </w:tr>
    </w:tbl>
    <w:p w:rsidR="002046E8" w:rsidRPr="001226D2" w:rsidRDefault="002046E8" w:rsidP="002046E8">
      <w:pPr>
        <w:pStyle w:val="5"/>
        <w:rPr>
          <w:rFonts w:ascii="Times New Roman" w:hAnsi="Times New Roman" w:cs="Times New Roman"/>
          <w:b/>
        </w:rPr>
      </w:pPr>
      <w:r w:rsidRPr="001226D2">
        <w:rPr>
          <w:rFonts w:ascii="Times New Roman" w:hAnsi="Times New Roman" w:cs="Times New Roman"/>
          <w:b/>
        </w:rPr>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rsidR="00241FF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r>
        <w:rPr>
          <w:rFonts w:ascii="Times New Roman" w:hAnsi="Times New Roman" w:cs="Times New Roman"/>
          <w:b w:val="0"/>
          <w:sz w:val="20"/>
          <w:szCs w:val="20"/>
        </w:rPr>
        <w:t>территориальной и</w:t>
      </w:r>
      <w:r w:rsidRPr="00D75A02">
        <w:rPr>
          <w:rFonts w:ascii="Times New Roman" w:hAnsi="Times New Roman" w:cs="Times New Roman"/>
          <w:b w:val="0"/>
          <w:sz w:val="20"/>
          <w:szCs w:val="20"/>
        </w:rPr>
        <w:t xml:space="preserve">збирательной </w:t>
      </w:r>
    </w:p>
    <w:p w:rsidR="00241FF2" w:rsidRPr="00D75A0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комиссии </w:t>
      </w:r>
      <w:proofErr w:type="spellStart"/>
      <w:r w:rsidR="00512749">
        <w:rPr>
          <w:rFonts w:ascii="Times New Roman" w:hAnsi="Times New Roman" w:cs="Times New Roman"/>
          <w:b w:val="0"/>
          <w:sz w:val="20"/>
          <w:szCs w:val="20"/>
        </w:rPr>
        <w:t>Хлевенского</w:t>
      </w:r>
      <w:proofErr w:type="spellEnd"/>
      <w:r w:rsidR="00512749">
        <w:rPr>
          <w:rFonts w:ascii="Times New Roman" w:hAnsi="Times New Roman" w:cs="Times New Roman"/>
          <w:b w:val="0"/>
          <w:sz w:val="20"/>
          <w:szCs w:val="20"/>
        </w:rPr>
        <w:t xml:space="preserve"> района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 xml:space="preserve">от </w:t>
      </w:r>
      <w:r w:rsidR="00123573">
        <w:rPr>
          <w:rFonts w:ascii="Times New Roman" w:hAnsi="Times New Roman" w:cs="Times New Roman"/>
          <w:sz w:val="20"/>
          <w:szCs w:val="20"/>
        </w:rPr>
        <w:t>17</w:t>
      </w:r>
      <w:r w:rsidR="00512749">
        <w:rPr>
          <w:rFonts w:ascii="Times New Roman" w:hAnsi="Times New Roman" w:cs="Times New Roman"/>
          <w:sz w:val="20"/>
          <w:szCs w:val="20"/>
        </w:rPr>
        <w:t xml:space="preserve"> июня</w:t>
      </w:r>
      <w:r w:rsidRPr="00D75A02">
        <w:rPr>
          <w:rFonts w:ascii="Times New Roman" w:hAnsi="Times New Roman" w:cs="Times New Roman"/>
          <w:sz w:val="20"/>
          <w:szCs w:val="20"/>
        </w:rPr>
        <w:t xml:space="preserve"> 20</w:t>
      </w:r>
      <w:r w:rsidR="00512749">
        <w:rPr>
          <w:rFonts w:ascii="Times New Roman" w:hAnsi="Times New Roman" w:cs="Times New Roman"/>
          <w:sz w:val="20"/>
          <w:szCs w:val="20"/>
        </w:rPr>
        <w:t>25</w:t>
      </w:r>
      <w:r w:rsidRPr="00D75A02">
        <w:rPr>
          <w:rFonts w:ascii="Times New Roman" w:hAnsi="Times New Roman" w:cs="Times New Roman"/>
          <w:sz w:val="20"/>
          <w:szCs w:val="20"/>
        </w:rPr>
        <w:t xml:space="preserve"> года № </w:t>
      </w:r>
      <w:r w:rsidR="00512749">
        <w:rPr>
          <w:rFonts w:ascii="Times New Roman" w:hAnsi="Times New Roman" w:cs="Times New Roman"/>
          <w:sz w:val="20"/>
          <w:szCs w:val="20"/>
        </w:rPr>
        <w:t>8</w:t>
      </w:r>
      <w:r w:rsidR="00750BA5">
        <w:rPr>
          <w:rFonts w:ascii="Times New Roman" w:hAnsi="Times New Roman" w:cs="Times New Roman"/>
          <w:sz w:val="20"/>
          <w:szCs w:val="20"/>
        </w:rPr>
        <w:t>1</w:t>
      </w:r>
      <w:bookmarkStart w:id="0" w:name="_GoBack"/>
      <w:bookmarkEnd w:id="0"/>
      <w:r w:rsidR="00512749">
        <w:rPr>
          <w:rFonts w:ascii="Times New Roman" w:hAnsi="Times New Roman" w:cs="Times New Roman"/>
          <w:sz w:val="20"/>
          <w:szCs w:val="20"/>
        </w:rPr>
        <w:t>/297</w:t>
      </w:r>
    </w:p>
    <w:p w:rsidR="00241FF2" w:rsidRDefault="00241FF2">
      <w:pPr>
        <w:pStyle w:val="ConsPlusTitle"/>
        <w:jc w:val="center"/>
        <w:rPr>
          <w:rFonts w:ascii="Times New Roman" w:hAnsi="Times New Roman" w:cs="Times New Roman"/>
          <w:sz w:val="24"/>
          <w:szCs w:val="24"/>
        </w:rPr>
      </w:pPr>
    </w:p>
    <w:p w:rsidR="00512749" w:rsidRDefault="00512749" w:rsidP="00512749">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12749" w:rsidRDefault="00512749" w:rsidP="00512749">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Pr>
          <w:rFonts w:ascii="Times New Roman" w:hAnsi="Times New Roman" w:cs="Times New Roman"/>
          <w:i/>
          <w:sz w:val="24"/>
          <w:szCs w:val="24"/>
        </w:rPr>
        <w:t xml:space="preserve"> </w:t>
      </w:r>
      <w:proofErr w:type="spellStart"/>
      <w:r>
        <w:rPr>
          <w:rFonts w:ascii="Times New Roman" w:hAnsi="Times New Roman" w:cs="Times New Roman"/>
          <w:b/>
          <w:sz w:val="28"/>
          <w:szCs w:val="28"/>
        </w:rPr>
        <w:t>Хлевенского</w:t>
      </w:r>
      <w:proofErr w:type="spellEnd"/>
      <w:r w:rsidRPr="002D7122">
        <w:rPr>
          <w:rFonts w:ascii="Times New Roman" w:hAnsi="Times New Roman" w:cs="Times New Roman"/>
          <w:b/>
          <w:sz w:val="28"/>
          <w:szCs w:val="28"/>
        </w:rPr>
        <w:t xml:space="preserve"> района,</w:t>
      </w:r>
      <w:r>
        <w:rPr>
          <w:rFonts w:ascii="Times New Roman" w:hAnsi="Times New Roman" w:cs="Times New Roman"/>
          <w:b/>
          <w:sz w:val="28"/>
          <w:szCs w:val="28"/>
        </w:rPr>
        <w:t xml:space="preserve"> </w:t>
      </w:r>
    </w:p>
    <w:p w:rsidR="00512749" w:rsidRDefault="00512749" w:rsidP="00512749">
      <w:pPr>
        <w:pStyle w:val="ConsPlusNormal"/>
        <w:jc w:val="center"/>
        <w:rPr>
          <w:rFonts w:ascii="Times New Roman" w:hAnsi="Times New Roman" w:cs="Times New Roman"/>
          <w:b/>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Pr="002D7122">
        <w:rPr>
          <w:rFonts w:ascii="Times New Roman" w:hAnsi="Times New Roman" w:cs="Times New Roman"/>
          <w:b/>
          <w:sz w:val="28"/>
          <w:szCs w:val="28"/>
        </w:rPr>
        <w:t xml:space="preserve">депутатов Совета депутатов </w:t>
      </w:r>
      <w:proofErr w:type="spellStart"/>
      <w:r>
        <w:rPr>
          <w:rFonts w:ascii="Times New Roman" w:hAnsi="Times New Roman" w:cs="Times New Roman"/>
          <w:b/>
          <w:sz w:val="28"/>
          <w:szCs w:val="28"/>
        </w:rPr>
        <w:t>Хлевенского</w:t>
      </w:r>
      <w:proofErr w:type="spellEnd"/>
      <w:r w:rsidRPr="002D7122">
        <w:rPr>
          <w:rFonts w:ascii="Times New Roman" w:hAnsi="Times New Roman" w:cs="Times New Roman"/>
          <w:b/>
          <w:sz w:val="28"/>
          <w:szCs w:val="28"/>
        </w:rPr>
        <w:t xml:space="preserve"> муниципального округа Липецкой области </w:t>
      </w:r>
    </w:p>
    <w:p w:rsidR="00512749" w:rsidRDefault="00512749" w:rsidP="00512749">
      <w:pPr>
        <w:pStyle w:val="ConsPlusNormal"/>
        <w:jc w:val="center"/>
        <w:rPr>
          <w:rFonts w:ascii="Times New Roman" w:hAnsi="Times New Roman" w:cs="Times New Roman"/>
          <w:b/>
          <w:sz w:val="28"/>
          <w:szCs w:val="28"/>
        </w:rPr>
      </w:pPr>
      <w:r w:rsidRPr="002D7122">
        <w:rPr>
          <w:rFonts w:ascii="Times New Roman" w:hAnsi="Times New Roman" w:cs="Times New Roman"/>
          <w:b/>
          <w:sz w:val="28"/>
          <w:szCs w:val="28"/>
        </w:rPr>
        <w:t xml:space="preserve">Российской Федерации первого созыва </w:t>
      </w:r>
    </w:p>
    <w:p w:rsidR="00512749" w:rsidRDefault="00512749" w:rsidP="00512749">
      <w:pPr>
        <w:pStyle w:val="ConsPlusNormal"/>
        <w:jc w:val="center"/>
        <w:rPr>
          <w:rFonts w:ascii="Times New Roman" w:hAnsi="Times New Roman" w:cs="Times New Roman"/>
          <w:sz w:val="28"/>
          <w:szCs w:val="28"/>
        </w:rPr>
      </w:pPr>
      <w:r w:rsidRPr="002D7122">
        <w:rPr>
          <w:rFonts w:ascii="Times New Roman" w:hAnsi="Times New Roman" w:cs="Times New Roman"/>
          <w:b/>
          <w:sz w:val="28"/>
          <w:szCs w:val="28"/>
        </w:rPr>
        <w:t>14 сентября 2025 года</w:t>
      </w:r>
    </w:p>
    <w:p w:rsidR="00241FF2" w:rsidRDefault="00241FF2">
      <w:pPr>
        <w:pStyle w:val="ConsPlusTitle"/>
        <w:jc w:val="center"/>
        <w:rPr>
          <w:rFonts w:ascii="Times New Roman" w:hAnsi="Times New Roman" w:cs="Times New Roman"/>
          <w:sz w:val="24"/>
          <w:szCs w:val="24"/>
        </w:rPr>
      </w:pPr>
    </w:p>
    <w:p w:rsidR="00B807E4" w:rsidRPr="00B807E4" w:rsidRDefault="00B807E4">
      <w:pPr>
        <w:pStyle w:val="ConsPlusTitle"/>
        <w:jc w:val="center"/>
        <w:outlineLvl w:val="1"/>
        <w:rPr>
          <w:rFonts w:ascii="Times New Roman" w:hAnsi="Times New Roman" w:cs="Times New Roman"/>
          <w:sz w:val="24"/>
          <w:szCs w:val="24"/>
        </w:rPr>
      </w:pPr>
      <w:bookmarkStart w:id="1" w:name="P42"/>
      <w:bookmarkEnd w:id="1"/>
      <w:r w:rsidRPr="00B807E4">
        <w:rPr>
          <w:rFonts w:ascii="Times New Roman" w:hAnsi="Times New Roman" w:cs="Times New Roman"/>
          <w:sz w:val="24"/>
          <w:szCs w:val="24"/>
        </w:rPr>
        <w:t>1. Общие положения</w:t>
      </w:r>
    </w:p>
    <w:p w:rsidR="00B807E4" w:rsidRPr="00B807E4" w:rsidRDefault="00B807E4">
      <w:pPr>
        <w:pStyle w:val="ConsPlusNormal"/>
        <w:jc w:val="both"/>
        <w:rPr>
          <w:rFonts w:ascii="Times New Roman" w:hAnsi="Times New Roman" w:cs="Times New Roman"/>
          <w:sz w:val="24"/>
          <w:szCs w:val="24"/>
        </w:rPr>
      </w:pPr>
    </w:p>
    <w:p w:rsidR="00B807E4" w:rsidRPr="00512749" w:rsidRDefault="00F86CA5" w:rsidP="005127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proofErr w:type="spellStart"/>
      <w:r w:rsidR="00512749">
        <w:rPr>
          <w:rFonts w:ascii="Times New Roman" w:hAnsi="Times New Roman" w:cs="Times New Roman"/>
          <w:sz w:val="28"/>
          <w:szCs w:val="28"/>
        </w:rPr>
        <w:t>Хлевенского</w:t>
      </w:r>
      <w:proofErr w:type="spellEnd"/>
      <w:r w:rsidR="00512749">
        <w:rPr>
          <w:rFonts w:ascii="Times New Roman" w:hAnsi="Times New Roman" w:cs="Times New Roman"/>
          <w:sz w:val="28"/>
          <w:szCs w:val="28"/>
        </w:rPr>
        <w:t xml:space="preserve"> района</w:t>
      </w:r>
      <w:r w:rsidR="00E47AF8" w:rsidRPr="00BF39E8">
        <w:rPr>
          <w:rFonts w:ascii="Times New Roman" w:hAnsi="Times New Roman" w:cs="Times New Roman"/>
          <w:sz w:val="28"/>
          <w:szCs w:val="28"/>
        </w:rPr>
        <w:t xml:space="preserve">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512749" w:rsidRPr="002D7122">
        <w:rPr>
          <w:rFonts w:ascii="Times New Roman" w:hAnsi="Times New Roman" w:cs="Times New Roman"/>
          <w:sz w:val="28"/>
          <w:szCs w:val="28"/>
        </w:rPr>
        <w:t xml:space="preserve">депутатов Совета депутатов </w:t>
      </w:r>
      <w:proofErr w:type="spellStart"/>
      <w:r w:rsidR="00512749">
        <w:rPr>
          <w:rFonts w:ascii="Times New Roman" w:hAnsi="Times New Roman" w:cs="Times New Roman"/>
          <w:sz w:val="28"/>
          <w:szCs w:val="28"/>
        </w:rPr>
        <w:t>Хлевенского</w:t>
      </w:r>
      <w:proofErr w:type="spellEnd"/>
      <w:r w:rsidR="00512749" w:rsidRPr="002D7122">
        <w:rPr>
          <w:rFonts w:ascii="Times New Roman" w:hAnsi="Times New Roman" w:cs="Times New Roman"/>
          <w:sz w:val="28"/>
          <w:szCs w:val="28"/>
        </w:rPr>
        <w:t xml:space="preserve"> муниципального округа Липецкой области Российской Федерации первого созыва</w:t>
      </w:r>
      <w:r w:rsidR="00512749" w:rsidRPr="00BF39E8">
        <w:rPr>
          <w:rFonts w:ascii="Times New Roman" w:hAnsi="Times New Roman" w:cs="Times New Roman"/>
          <w:sz w:val="28"/>
          <w:szCs w:val="28"/>
        </w:rPr>
        <w:t xml:space="preserve"> </w:t>
      </w:r>
      <w:r w:rsidR="00BF39E8" w:rsidRPr="00BF39E8">
        <w:rPr>
          <w:rFonts w:ascii="Times New Roman" w:hAnsi="Times New Roman" w:cs="Times New Roman"/>
          <w:sz w:val="28"/>
          <w:szCs w:val="28"/>
        </w:rPr>
        <w:t>на закупку товаров, работ,</w:t>
      </w:r>
      <w:r w:rsidR="00BF39E8">
        <w:rPr>
          <w:rFonts w:ascii="Times New Roman" w:hAnsi="Times New Roman" w:cs="Times New Roman"/>
          <w:sz w:val="28"/>
          <w:szCs w:val="28"/>
        </w:rPr>
        <w:t xml:space="preserve"> услуг за счет</w:t>
      </w:r>
      <w:r w:rsidR="00512749">
        <w:rPr>
          <w:rFonts w:ascii="Times New Roman" w:hAnsi="Times New Roman" w:cs="Times New Roman"/>
          <w:sz w:val="24"/>
          <w:szCs w:val="24"/>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w:t>
      </w:r>
      <w:r w:rsidR="00B807E4" w:rsidRPr="00BF39E8">
        <w:rPr>
          <w:rFonts w:ascii="Times New Roman" w:hAnsi="Times New Roman" w:cs="Times New Roman"/>
          <w:sz w:val="28"/>
          <w:szCs w:val="28"/>
        </w:rPr>
        <w:lastRenderedPageBreak/>
        <w:t>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в соответствии с нормативными актами Центральной избирательной комиссии Российской Федерации товаров, работ, 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lastRenderedPageBreak/>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2" w:name="P95"/>
      <w:bookmarkEnd w:id="2"/>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w:t>
      </w:r>
      <w:r w:rsidR="00B807E4" w:rsidRPr="00BF39E8">
        <w:rPr>
          <w:rFonts w:ascii="Times New Roman" w:hAnsi="Times New Roman" w:cs="Times New Roman"/>
          <w:sz w:val="28"/>
          <w:szCs w:val="28"/>
        </w:rPr>
        <w:lastRenderedPageBreak/>
        <w:t xml:space="preserve">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3" w:name="P137"/>
      <w:bookmarkEnd w:id="3"/>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4" w:name="P155"/>
      <w:bookmarkEnd w:id="4"/>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proofErr w:type="gramStart"/>
        <w:r w:rsidRPr="00BF39E8">
          <w:rPr>
            <w:rFonts w:ascii="Times New Roman" w:hAnsi="Times New Roman" w:cs="Times New Roman"/>
            <w:color w:val="000000" w:themeColor="text1"/>
            <w:sz w:val="28"/>
            <w:szCs w:val="28"/>
          </w:rPr>
          <w:t>приложению</w:t>
        </w:r>
        <w:proofErr w:type="gramEnd"/>
        <w:r w:rsidRPr="00BF39E8">
          <w:rPr>
            <w:rFonts w:ascii="Times New Roman" w:hAnsi="Times New Roman" w:cs="Times New Roman"/>
            <w:color w:val="000000" w:themeColor="text1"/>
            <w:sz w:val="28"/>
            <w:szCs w:val="28"/>
          </w:rPr>
          <w:t xml:space="preserve">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 xml:space="preserve">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w:t>
      </w:r>
      <w:r w:rsidRPr="00BF39E8">
        <w:rPr>
          <w:rFonts w:ascii="Times New Roman" w:hAnsi="Times New Roman" w:cs="Times New Roman"/>
          <w:sz w:val="28"/>
          <w:szCs w:val="28"/>
        </w:rPr>
        <w:lastRenderedPageBreak/>
        <w:t>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5" w:name="P193"/>
      <w:bookmarkEnd w:id="5"/>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w:t>
      </w:r>
      <w:r w:rsidRPr="00BF39E8">
        <w:rPr>
          <w:rFonts w:ascii="Times New Roman" w:hAnsi="Times New Roman" w:cs="Times New Roman"/>
          <w:sz w:val="28"/>
          <w:szCs w:val="28"/>
        </w:rPr>
        <w:lastRenderedPageBreak/>
        <w:t>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непривлечения</w:t>
      </w:r>
      <w:proofErr w:type="spellEnd"/>
      <w:r w:rsidRPr="00BF39E8">
        <w:rPr>
          <w:rFonts w:ascii="Times New Roman" w:hAnsi="Times New Roman" w:cs="Times New Roman"/>
          <w:sz w:val="28"/>
          <w:szCs w:val="28"/>
        </w:rPr>
        <w:t xml:space="preserve">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непроведения</w:t>
      </w:r>
      <w:proofErr w:type="spellEnd"/>
      <w:r w:rsidRPr="00BF39E8">
        <w:rPr>
          <w:rFonts w:ascii="Times New Roman" w:hAnsi="Times New Roman" w:cs="Times New Roman"/>
          <w:sz w:val="28"/>
          <w:szCs w:val="28"/>
        </w:rPr>
        <w:t xml:space="preserve">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BF39E8">
        <w:rPr>
          <w:rFonts w:ascii="Times New Roman" w:hAnsi="Times New Roman" w:cs="Times New Roman"/>
          <w:sz w:val="28"/>
          <w:szCs w:val="28"/>
        </w:rPr>
        <w:lastRenderedPageBreak/>
        <w:t xml:space="preserve">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39E8">
        <w:rPr>
          <w:rFonts w:ascii="Times New Roman" w:hAnsi="Times New Roman" w:cs="Times New Roman"/>
          <w:sz w:val="28"/>
          <w:szCs w:val="28"/>
        </w:rPr>
        <w:t>неполнородными</w:t>
      </w:r>
      <w:proofErr w:type="spellEnd"/>
      <w:r w:rsidRPr="00BF39E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6" w:name="P229"/>
      <w:bookmarkEnd w:id="6"/>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 каждый факт неисполнения или ненадлежащего исполнения </w:t>
      </w:r>
      <w:r w:rsidRPr="00613AA2">
        <w:rPr>
          <w:rFonts w:ascii="Times New Roman" w:hAnsi="Times New Roman" w:cs="Times New Roman"/>
          <w:sz w:val="28"/>
          <w:szCs w:val="28"/>
        </w:rPr>
        <w:lastRenderedPageBreak/>
        <w:t>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w:t>
      </w:r>
      <w:r w:rsidRPr="00613AA2">
        <w:rPr>
          <w:rFonts w:ascii="Times New Roman" w:hAnsi="Times New Roman" w:cs="Times New Roman"/>
          <w:sz w:val="28"/>
          <w:szCs w:val="28"/>
        </w:rPr>
        <w:lastRenderedPageBreak/>
        <w:t>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7" w:name="P284"/>
      <w:bookmarkEnd w:id="7"/>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w:t>
      </w:r>
      <w:r w:rsidRPr="00613AA2">
        <w:rPr>
          <w:rFonts w:ascii="Times New Roman" w:hAnsi="Times New Roman" w:cs="Times New Roman"/>
          <w:sz w:val="28"/>
          <w:szCs w:val="28"/>
        </w:rPr>
        <w:lastRenderedPageBreak/>
        <w:t>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w:t>
      </w:r>
      <w:r w:rsidRPr="00613AA2">
        <w:rPr>
          <w:rFonts w:ascii="Times New Roman" w:hAnsi="Times New Roman" w:cs="Times New Roman"/>
          <w:sz w:val="28"/>
          <w:szCs w:val="28"/>
        </w:rPr>
        <w:lastRenderedPageBreak/>
        <w:t>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8" w:name="P311"/>
      <w:bookmarkStart w:id="9" w:name="P323"/>
      <w:bookmarkEnd w:id="8"/>
      <w:bookmarkEnd w:id="9"/>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280" w:rsidRDefault="00E37280" w:rsidP="006C28B5">
      <w:r>
        <w:separator/>
      </w:r>
    </w:p>
  </w:endnote>
  <w:endnote w:type="continuationSeparator" w:id="0">
    <w:p w:rsidR="00E37280" w:rsidRDefault="00E37280"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280" w:rsidRDefault="00E37280" w:rsidP="006C28B5">
      <w:r>
        <w:separator/>
      </w:r>
    </w:p>
  </w:footnote>
  <w:footnote w:type="continuationSeparator" w:id="0">
    <w:p w:rsidR="00E37280" w:rsidRDefault="00E37280" w:rsidP="006C2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4307"/>
      <w:docPartObj>
        <w:docPartGallery w:val="Page Numbers (Top of Page)"/>
        <w:docPartUnique/>
      </w:docPartObj>
    </w:sdtPr>
    <w:sdtEndPr/>
    <w:sdtContent>
      <w:p w:rsidR="006C28B5" w:rsidRDefault="00E37280">
        <w:pPr>
          <w:pStyle w:val="a6"/>
          <w:jc w:val="center"/>
        </w:pPr>
      </w:p>
    </w:sdtContent>
  </w:sdt>
  <w:p w:rsidR="006C28B5" w:rsidRDefault="006C28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15:restartNumberingAfterBreak="0">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E4"/>
    <w:rsid w:val="000005B1"/>
    <w:rsid w:val="00031877"/>
    <w:rsid w:val="00070B2C"/>
    <w:rsid w:val="0007798E"/>
    <w:rsid w:val="000E303E"/>
    <w:rsid w:val="000E3550"/>
    <w:rsid w:val="0011518E"/>
    <w:rsid w:val="00123573"/>
    <w:rsid w:val="00171C33"/>
    <w:rsid w:val="001A2F8F"/>
    <w:rsid w:val="001A38CB"/>
    <w:rsid w:val="001D36F7"/>
    <w:rsid w:val="001F7EDE"/>
    <w:rsid w:val="002046E8"/>
    <w:rsid w:val="00206E52"/>
    <w:rsid w:val="002123C1"/>
    <w:rsid w:val="00241FF2"/>
    <w:rsid w:val="002546A5"/>
    <w:rsid w:val="00286109"/>
    <w:rsid w:val="00294194"/>
    <w:rsid w:val="002E41CA"/>
    <w:rsid w:val="00357A75"/>
    <w:rsid w:val="003E5EF3"/>
    <w:rsid w:val="003F5F09"/>
    <w:rsid w:val="003F606E"/>
    <w:rsid w:val="00401484"/>
    <w:rsid w:val="0040689D"/>
    <w:rsid w:val="004156F7"/>
    <w:rsid w:val="00416AA8"/>
    <w:rsid w:val="00437037"/>
    <w:rsid w:val="004760F5"/>
    <w:rsid w:val="004962E7"/>
    <w:rsid w:val="004A184B"/>
    <w:rsid w:val="004B0E5B"/>
    <w:rsid w:val="004D3737"/>
    <w:rsid w:val="004E4865"/>
    <w:rsid w:val="004F2642"/>
    <w:rsid w:val="004F5499"/>
    <w:rsid w:val="00512749"/>
    <w:rsid w:val="005304AF"/>
    <w:rsid w:val="00533D50"/>
    <w:rsid w:val="00577112"/>
    <w:rsid w:val="005A771E"/>
    <w:rsid w:val="005B5D25"/>
    <w:rsid w:val="005F5CDA"/>
    <w:rsid w:val="005F75E4"/>
    <w:rsid w:val="005F78B9"/>
    <w:rsid w:val="00613AA2"/>
    <w:rsid w:val="00664ADD"/>
    <w:rsid w:val="006C28B5"/>
    <w:rsid w:val="006D4CD3"/>
    <w:rsid w:val="00704DB9"/>
    <w:rsid w:val="007129B1"/>
    <w:rsid w:val="00750BA5"/>
    <w:rsid w:val="00753137"/>
    <w:rsid w:val="00762554"/>
    <w:rsid w:val="00765D4B"/>
    <w:rsid w:val="00790960"/>
    <w:rsid w:val="007A005D"/>
    <w:rsid w:val="00817E1E"/>
    <w:rsid w:val="00823442"/>
    <w:rsid w:val="008B4750"/>
    <w:rsid w:val="00961116"/>
    <w:rsid w:val="0096772C"/>
    <w:rsid w:val="009E4F8E"/>
    <w:rsid w:val="009F098A"/>
    <w:rsid w:val="00A71B49"/>
    <w:rsid w:val="00AA50AA"/>
    <w:rsid w:val="00AB3BA6"/>
    <w:rsid w:val="00AC1EFC"/>
    <w:rsid w:val="00B4110A"/>
    <w:rsid w:val="00B7026E"/>
    <w:rsid w:val="00B807E4"/>
    <w:rsid w:val="00B813A4"/>
    <w:rsid w:val="00BD5A2A"/>
    <w:rsid w:val="00BE4DA7"/>
    <w:rsid w:val="00BF39E8"/>
    <w:rsid w:val="00C0065C"/>
    <w:rsid w:val="00C259BC"/>
    <w:rsid w:val="00C25C44"/>
    <w:rsid w:val="00C8114A"/>
    <w:rsid w:val="00CC6AFD"/>
    <w:rsid w:val="00CE6088"/>
    <w:rsid w:val="00D34159"/>
    <w:rsid w:val="00D34800"/>
    <w:rsid w:val="00D739E2"/>
    <w:rsid w:val="00D76A81"/>
    <w:rsid w:val="00DD5025"/>
    <w:rsid w:val="00DE6FBB"/>
    <w:rsid w:val="00E37280"/>
    <w:rsid w:val="00E47AF8"/>
    <w:rsid w:val="00E646B8"/>
    <w:rsid w:val="00EB753D"/>
    <w:rsid w:val="00EE1E48"/>
    <w:rsid w:val="00EF2FBD"/>
    <w:rsid w:val="00F42552"/>
    <w:rsid w:val="00F8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275C6-8724-4F01-A2B6-7A42D342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5AA1F-11B5-4C06-8EB6-09FABF0EF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Admin</cp:lastModifiedBy>
  <cp:revision>27</cp:revision>
  <cp:lastPrinted>2025-05-29T09:36:00Z</cp:lastPrinted>
  <dcterms:created xsi:type="dcterms:W3CDTF">2025-05-28T07:31:00Z</dcterms:created>
  <dcterms:modified xsi:type="dcterms:W3CDTF">2025-06-26T06:33:00Z</dcterms:modified>
</cp:coreProperties>
</file>