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94BB5" w14:textId="77777777" w:rsidR="00466A05" w:rsidRDefault="00466A05" w:rsidP="00D3668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ТЕРРИТОРИАЛЬНАЯ ИЗБИРАТЕЛЬНАЯ КОМИССИЯ</w:t>
      </w:r>
    </w:p>
    <w:p w14:paraId="633A18D2" w14:textId="77777777" w:rsidR="00466A05" w:rsidRDefault="00466A05" w:rsidP="00D3668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ХЛЕВЕНСКОГО РАЙОНА</w:t>
      </w:r>
    </w:p>
    <w:p w14:paraId="46D727BA" w14:textId="77777777" w:rsidR="00466A05" w:rsidRDefault="00466A05" w:rsidP="00466A0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471BD294" w14:textId="77777777" w:rsidR="00466A05" w:rsidRDefault="00466A05" w:rsidP="00466A05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16A4099" w14:textId="77777777" w:rsidR="00466A05" w:rsidRDefault="00466A05" w:rsidP="00466A05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ПОСТАНОВЛЕНИЕ  </w:t>
      </w:r>
    </w:p>
    <w:p w14:paraId="343CF657" w14:textId="77777777" w:rsidR="00466A05" w:rsidRDefault="00466A05" w:rsidP="00466A0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1C32965" w14:textId="6879F189" w:rsidR="00466A05" w:rsidRDefault="00796845" w:rsidP="00466A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16E4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="00466A05" w:rsidRPr="00A416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июля 2025 года                                                                                  № 90/324</w:t>
      </w:r>
    </w:p>
    <w:p w14:paraId="5717CD99" w14:textId="77777777" w:rsidR="00466A05" w:rsidRDefault="00466A05" w:rsidP="00466A05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D2D59F" w14:textId="4C686331" w:rsidR="006E7F71" w:rsidRPr="006E7F71" w:rsidRDefault="00F57580" w:rsidP="006E7F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Хлевное</w:t>
      </w:r>
    </w:p>
    <w:p w14:paraId="425A2980" w14:textId="77777777" w:rsidR="006E7F71" w:rsidRPr="006E7F71" w:rsidRDefault="006E7F71" w:rsidP="006E7F7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37E5E228" w14:textId="77777777" w:rsidR="00AD70B0" w:rsidRDefault="00AD70B0" w:rsidP="007C0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0D4512" w14:textId="4CA4673D" w:rsidR="0024327C" w:rsidRPr="00776F89" w:rsidRDefault="00E805EC" w:rsidP="00776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668A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Хлевенского муниципального округа Липецкой области </w:t>
      </w:r>
      <w:r w:rsidR="005A0D80">
        <w:rPr>
          <w:rFonts w:ascii="Times New Roman" w:hAnsi="Times New Roman" w:cs="Times New Roman"/>
          <w:b/>
          <w:bCs/>
          <w:sz w:val="28"/>
          <w:szCs w:val="28"/>
        </w:rPr>
        <w:t>Российской</w:t>
      </w:r>
      <w:r w:rsidR="00D3668A">
        <w:rPr>
          <w:rFonts w:ascii="Times New Roman" w:hAnsi="Times New Roman" w:cs="Times New Roman"/>
          <w:b/>
          <w:bCs/>
          <w:sz w:val="28"/>
          <w:szCs w:val="28"/>
        </w:rPr>
        <w:t xml:space="preserve"> Федерации первого созыва</w:t>
      </w:r>
      <w:r w:rsidR="00A0523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704C5BB" w14:textId="741F809A" w:rsidR="00472A7B" w:rsidRDefault="00844F8C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14:paraId="468E1F36" w14:textId="77777777"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BA26C" w14:textId="745D496D" w:rsidR="00D56382" w:rsidRPr="00FB4283" w:rsidRDefault="00472A7B" w:rsidP="00173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6E7A" w:rsidRPr="00844F8C">
        <w:rPr>
          <w:rFonts w:ascii="Times New Roman" w:hAnsi="Times New Roman" w:cs="Times New Roman"/>
          <w:sz w:val="28"/>
          <w:szCs w:val="28"/>
        </w:rPr>
        <w:t xml:space="preserve"> 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173834">
        <w:rPr>
          <w:rFonts w:ascii="Times New Roman" w:hAnsi="Times New Roman"/>
          <w:sz w:val="28"/>
          <w:szCs w:val="28"/>
        </w:rPr>
        <w:t>79/791-7</w:t>
      </w:r>
      <w:r w:rsidR="006E7F71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173834">
        <w:rPr>
          <w:rFonts w:ascii="Times New Roman" w:hAnsi="Times New Roman"/>
          <w:sz w:val="28"/>
          <w:szCs w:val="28"/>
        </w:rPr>
        <w:t>Хлевенском</w:t>
      </w:r>
      <w:r w:rsidR="006E7F71" w:rsidRPr="00724B4D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173834">
        <w:rPr>
          <w:rFonts w:ascii="Times New Roman" w:hAnsi="Times New Roman"/>
          <w:sz w:val="28"/>
          <w:szCs w:val="28"/>
        </w:rPr>
        <w:t>Хлевенского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173834">
        <w:rPr>
          <w:rFonts w:ascii="Times New Roman" w:hAnsi="Times New Roman"/>
          <w:sz w:val="28"/>
          <w:szCs w:val="28"/>
        </w:rPr>
        <w:t xml:space="preserve">Хлевенского 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173834">
        <w:rPr>
          <w:rFonts w:ascii="Times New Roman" w:hAnsi="Times New Roman"/>
          <w:bCs/>
          <w:sz w:val="28"/>
          <w:szCs w:val="28"/>
        </w:rPr>
        <w:t>16 июня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173834">
        <w:rPr>
          <w:rFonts w:ascii="Times New Roman" w:hAnsi="Times New Roman"/>
          <w:bCs/>
          <w:sz w:val="28"/>
          <w:szCs w:val="28"/>
        </w:rPr>
        <w:t>80/275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</w:t>
      </w:r>
      <w:r w:rsidR="00173834">
        <w:rPr>
          <w:rFonts w:ascii="Times New Roman" w:hAnsi="Times New Roman"/>
          <w:bCs/>
          <w:sz w:val="28"/>
          <w:szCs w:val="28"/>
        </w:rPr>
        <w:t xml:space="preserve"> комиссий по выборам депутатов 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173834">
        <w:rPr>
          <w:rFonts w:ascii="Times New Roman" w:hAnsi="Times New Roman"/>
          <w:bCs/>
          <w:sz w:val="28"/>
          <w:szCs w:val="28"/>
        </w:rPr>
        <w:t>Хлевенского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173834">
        <w:rPr>
          <w:rFonts w:ascii="Times New Roman" w:hAnsi="Times New Roman"/>
          <w:bCs/>
          <w:sz w:val="28"/>
          <w:szCs w:val="28"/>
        </w:rPr>
        <w:t>Хлевенского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173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Хлевенского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14:paraId="49029EB1" w14:textId="45EE4EA3" w:rsidR="00472A7B" w:rsidRPr="00FB4283" w:rsidRDefault="00472A7B" w:rsidP="00173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173834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173834">
        <w:rPr>
          <w:rFonts w:ascii="Times New Roman" w:hAnsi="Times New Roman"/>
          <w:bCs/>
          <w:sz w:val="28"/>
          <w:szCs w:val="28"/>
        </w:rPr>
        <w:t>Хлевенского</w:t>
      </w:r>
      <w:r w:rsidR="00173834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173834">
        <w:rPr>
          <w:rFonts w:ascii="Times New Roman" w:hAnsi="Times New Roman" w:cs="Times New Roman"/>
          <w:sz w:val="28"/>
        </w:rPr>
        <w:t>Хлевенского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14:paraId="399B49CB" w14:textId="7024ACB0" w:rsidR="00472A7B" w:rsidRPr="00FB4283" w:rsidRDefault="00472A7B" w:rsidP="001738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173834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173834">
        <w:rPr>
          <w:rFonts w:ascii="Times New Roman" w:hAnsi="Times New Roman"/>
          <w:bCs/>
          <w:sz w:val="28"/>
          <w:szCs w:val="28"/>
        </w:rPr>
        <w:t>Хлевенского</w:t>
      </w:r>
      <w:r w:rsidR="00173834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14:paraId="6CE05271" w14:textId="33B5BDD4" w:rsidR="001C6E7A" w:rsidRDefault="001C6E7A" w:rsidP="001738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14:paraId="699D4E48" w14:textId="1E3F8873" w:rsidR="00472A7B" w:rsidRPr="00FB4283" w:rsidRDefault="00377A4E" w:rsidP="00173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</w:t>
      </w:r>
      <w:r w:rsidR="0024327C">
        <w:rPr>
          <w:rFonts w:ascii="Times New Roman" w:hAnsi="Times New Roman" w:cs="Times New Roman"/>
          <w:sz w:val="28"/>
        </w:rPr>
        <w:t>,</w:t>
      </w:r>
      <w:r w:rsidR="00FB4283" w:rsidRPr="00FB4283">
        <w:rPr>
          <w:rFonts w:ascii="Times New Roman" w:hAnsi="Times New Roman" w:cs="Times New Roman"/>
          <w:sz w:val="28"/>
        </w:rPr>
        <w:t xml:space="preserve">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173834">
        <w:rPr>
          <w:rFonts w:ascii="Times New Roman" w:hAnsi="Times New Roman" w:cs="Times New Roman"/>
          <w:sz w:val="28"/>
          <w:szCs w:val="28"/>
        </w:rPr>
        <w:t>Хлевенского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834">
        <w:rPr>
          <w:rFonts w:ascii="Times New Roman" w:hAnsi="Times New Roman" w:cs="Times New Roman"/>
          <w:sz w:val="28"/>
          <w:szCs w:val="28"/>
        </w:rPr>
        <w:t>района в</w:t>
      </w:r>
      <w:r w:rsidR="006E6C53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14:paraId="2AFE2078" w14:textId="61DCDEFB" w:rsidR="00F91670" w:rsidRDefault="00377A4E" w:rsidP="001738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173834">
        <w:rPr>
          <w:rFonts w:ascii="Times New Roman" w:hAnsi="Times New Roman" w:cs="Times New Roman"/>
          <w:sz w:val="28"/>
          <w:szCs w:val="28"/>
        </w:rPr>
        <w:t xml:space="preserve">Хлевенского района </w:t>
      </w:r>
      <w:r w:rsidR="007F34F1">
        <w:rPr>
          <w:rFonts w:ascii="Times New Roman" w:hAnsi="Times New Roman" w:cs="Times New Roman"/>
          <w:sz w:val="28"/>
          <w:szCs w:val="28"/>
        </w:rPr>
        <w:t xml:space="preserve">Ю.А. </w:t>
      </w:r>
      <w:r w:rsidR="00173834">
        <w:rPr>
          <w:rFonts w:ascii="Times New Roman" w:hAnsi="Times New Roman" w:cs="Times New Roman"/>
          <w:sz w:val="28"/>
          <w:szCs w:val="28"/>
        </w:rPr>
        <w:t>Кудаеву.</w:t>
      </w:r>
    </w:p>
    <w:p w14:paraId="5F380960" w14:textId="77777777" w:rsidR="00F91670" w:rsidRDefault="00F91670" w:rsidP="0017383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9186D1B" w14:textId="77777777" w:rsidR="00173834" w:rsidRPr="00173834" w:rsidRDefault="00173834" w:rsidP="005A0D80">
      <w:pPr>
        <w:keepNext/>
        <w:spacing w:after="0" w:line="240" w:lineRule="auto"/>
        <w:ind w:left="4248" w:firstLine="708"/>
        <w:jc w:val="right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1E7FB2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</w:p>
    <w:p w14:paraId="2215B62B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35FA55AE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</w:t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Л.А. ПАЛЬЧИКОВА</w:t>
      </w:r>
    </w:p>
    <w:p w14:paraId="5FB5C7AE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BA4563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</w:p>
    <w:p w14:paraId="1404C561" w14:textId="77777777" w:rsidR="00173834" w:rsidRPr="00173834" w:rsidRDefault="00173834" w:rsidP="005A0D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1614C89F" w14:textId="77777777" w:rsidR="00173834" w:rsidRPr="00173834" w:rsidRDefault="00173834" w:rsidP="005A0D80">
      <w:pPr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                                                                    И.А. РОДИОНОВА</w:t>
      </w:r>
    </w:p>
    <w:p w14:paraId="1EEC0866" w14:textId="77777777"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14:paraId="47529C2A" w14:textId="77777777"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76D8AD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6312DB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72345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70BB07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C3AE6C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072586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B6134C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0F3289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128922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23D59D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C6B00A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5C5ED5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AEB3C4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3374B8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951173" w14:textId="77777777" w:rsidR="002478E7" w:rsidRDefault="002478E7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CB622A" w14:textId="77777777" w:rsidR="002478E7" w:rsidRDefault="002478E7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81A2A0" w14:textId="77777777" w:rsidR="002478E7" w:rsidRDefault="002478E7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p w14:paraId="7B117CE6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F17D63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64264B" w14:textId="77777777" w:rsidR="00A416E4" w:rsidRDefault="00A416E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A416E4" w14:paraId="52D8DD57" w14:textId="77777777" w:rsidTr="000C0D41">
        <w:tc>
          <w:tcPr>
            <w:tcW w:w="4673" w:type="dxa"/>
          </w:tcPr>
          <w:p w14:paraId="520F2084" w14:textId="5452B258" w:rsidR="00A416E4" w:rsidRPr="00287F31" w:rsidRDefault="00A416E4" w:rsidP="000C0D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</w:t>
            </w:r>
            <w:r w:rsidRPr="00287F31">
              <w:rPr>
                <w:color w:val="000000"/>
                <w:sz w:val="24"/>
                <w:szCs w:val="24"/>
              </w:rPr>
              <w:t>ожение</w:t>
            </w:r>
            <w:r>
              <w:rPr>
                <w:color w:val="000000"/>
                <w:sz w:val="24"/>
                <w:szCs w:val="24"/>
              </w:rPr>
              <w:t xml:space="preserve"> №1</w:t>
            </w:r>
          </w:p>
          <w:p w14:paraId="295F3641" w14:textId="77777777" w:rsidR="00A416E4" w:rsidRDefault="00A416E4" w:rsidP="000C0D4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</w:p>
          <w:p w14:paraId="44B12E56" w14:textId="77777777" w:rsidR="00A416E4" w:rsidRPr="00287F31" w:rsidRDefault="00A416E4" w:rsidP="000C0D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Хлевенского района</w:t>
            </w:r>
          </w:p>
          <w:p w14:paraId="5C4B6119" w14:textId="77777777" w:rsidR="00A416E4" w:rsidRDefault="00A416E4" w:rsidP="000C0D41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>
              <w:rPr>
                <w:color w:val="000000"/>
                <w:sz w:val="24"/>
                <w:szCs w:val="24"/>
              </w:rPr>
              <w:t xml:space="preserve"> 31 июля 2025 года №90/324 </w:t>
            </w:r>
          </w:p>
        </w:tc>
      </w:tr>
    </w:tbl>
    <w:p w14:paraId="28D9065A" w14:textId="77777777" w:rsidR="00A416E4" w:rsidRDefault="00A416E4" w:rsidP="00A416E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14:paraId="28D5819D" w14:textId="77777777" w:rsidR="00A416E4" w:rsidRDefault="00A416E4" w:rsidP="00A416E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участков, в помещениях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21DA327D" w14:textId="77777777" w:rsidR="00A416E4" w:rsidRDefault="00A416E4" w:rsidP="00A416E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5103"/>
      </w:tblGrid>
      <w:tr w:rsidR="00A416E4" w:rsidRPr="0025551C" w14:paraId="6B600399" w14:textId="77777777" w:rsidTr="000C0D4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4ACF9FB4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1A2EA25F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A17D229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4EE6127C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A416E4" w:rsidRPr="0025551C" w14:paraId="5ED08CAD" w14:textId="77777777" w:rsidTr="000C0D4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5D76FBA4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8A0B48B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083B1CE7" w14:textId="77777777" w:rsidR="00A416E4" w:rsidRPr="0025551C" w:rsidRDefault="00A416E4" w:rsidP="000C0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416E4" w:rsidRPr="0025551C" w14:paraId="0A4A0770" w14:textId="77777777" w:rsidTr="000C0D4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01B1C2FC" w14:textId="77777777" w:rsidR="00A416E4" w:rsidRPr="00680B53" w:rsidRDefault="00A416E4" w:rsidP="00A416E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91F3DF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№19-01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49457FF0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399260, Липецкая область, Хлевенский муниципальный район, село Хлевное, улица Свободы, 54 (здание МАУК "Хлевенский межпоселенческий Центр культуры и досуга")</w:t>
            </w:r>
          </w:p>
        </w:tc>
      </w:tr>
      <w:tr w:rsidR="00A416E4" w:rsidRPr="0025551C" w14:paraId="28FD3DFC" w14:textId="77777777" w:rsidTr="000C0D4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550C00B8" w14:textId="77777777" w:rsidR="00A416E4" w:rsidRPr="00680B53" w:rsidRDefault="00A416E4" w:rsidP="00A416E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884730D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№19-02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1C3E9C42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399260, Липецкая область, Хлевенский муниципальный район, село Хлевное, улица Юбилейная, 2 (здание МБУ "Многофункциональный центр предоставления государственных и муниципальных услуг населению" Хлевенского муниципального района)</w:t>
            </w:r>
          </w:p>
        </w:tc>
      </w:tr>
      <w:tr w:rsidR="00A416E4" w:rsidRPr="0025551C" w14:paraId="21DEA277" w14:textId="77777777" w:rsidTr="000C0D4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163FB442" w14:textId="77777777" w:rsidR="00A416E4" w:rsidRPr="00680B53" w:rsidRDefault="00A416E4" w:rsidP="00A416E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4F2F4EF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№19-03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17AB4E11" w14:textId="77777777" w:rsidR="00A416E4" w:rsidRPr="0025551C" w:rsidRDefault="00A416E4" w:rsidP="000C0D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399260, Липецкая область, Хлевенский муниципальный район, село Хлевное, Комсомольская, 7 (здание отдела культуры администрации Хлевенского муниципального района)</w:t>
            </w:r>
          </w:p>
        </w:tc>
      </w:tr>
    </w:tbl>
    <w:p w14:paraId="750B8339" w14:textId="77777777" w:rsidR="00A416E4" w:rsidRDefault="00A416E4" w:rsidP="00A416E4"/>
    <w:p w14:paraId="783759AC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780D12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9A79D4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409174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190E5F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1BE605" w14:textId="77777777" w:rsidR="005A0D80" w:rsidRDefault="005A0D80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5437B1" w14:textId="77777777" w:rsidR="005A0D80" w:rsidRDefault="005A0D80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E94E07" w14:textId="77777777" w:rsidR="005A0D80" w:rsidRDefault="005A0D80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633C62" w14:textId="77777777" w:rsidR="005A0D80" w:rsidRDefault="005A0D80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91652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CB4DBE" w14:textId="77777777" w:rsidR="00173834" w:rsidRDefault="00173834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F34044" w14:paraId="03BCAD43" w14:textId="77777777" w:rsidTr="00F34044">
        <w:tc>
          <w:tcPr>
            <w:tcW w:w="4673" w:type="dxa"/>
          </w:tcPr>
          <w:p w14:paraId="098C12AA" w14:textId="6454CC25"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14:paraId="36618019" w14:textId="77777777" w:rsidR="00173834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</w:p>
          <w:p w14:paraId="5DB4C46B" w14:textId="47326C69" w:rsidR="00F34044" w:rsidRPr="00287F31" w:rsidRDefault="00173834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Хлевенского района</w:t>
            </w:r>
          </w:p>
          <w:p w14:paraId="4622400B" w14:textId="3BCA071B" w:rsidR="00F34044" w:rsidRDefault="00F34044" w:rsidP="00173834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73834">
              <w:rPr>
                <w:color w:val="000000"/>
                <w:sz w:val="24"/>
                <w:szCs w:val="24"/>
              </w:rPr>
              <w:t>31 июля</w:t>
            </w:r>
            <w:r w:rsidR="00D35E25">
              <w:rPr>
                <w:color w:val="000000"/>
                <w:sz w:val="24"/>
                <w:szCs w:val="24"/>
              </w:rPr>
              <w:t xml:space="preserve"> 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173834">
              <w:rPr>
                <w:color w:val="000000"/>
                <w:sz w:val="24"/>
                <w:szCs w:val="24"/>
              </w:rPr>
              <w:t>90/324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0F7C36E" w14:textId="77777777"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52C447" w14:textId="77777777"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33E68" w14:textId="6C19588C" w:rsidR="009852F5" w:rsidRPr="004D25E1" w:rsidRDefault="00026AF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14:paraId="72C18E8B" w14:textId="38E43713" w:rsidR="00FB4283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5A0D80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Хлевенского 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</w:p>
    <w:p w14:paraId="74B865CA" w14:textId="71EED72B" w:rsidR="00287F31" w:rsidRPr="004D25E1" w:rsidRDefault="001C6E7A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7995ACC" w14:textId="20CB4C1F"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  <w:r>
        <w:rPr>
          <w:rFonts w:ascii="Calibri" w:eastAsiaTheme="minorEastAsia" w:hAnsi="Calibri" w:cs="Calibri"/>
          <w:kern w:val="2"/>
          <w:lang w:eastAsia="ru-RU"/>
          <w14:ligatures w14:val="standardContextual"/>
        </w:rPr>
        <w:t xml:space="preserve"> </w:t>
      </w:r>
    </w:p>
    <w:p w14:paraId="15110DA3" w14:textId="77777777"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1. Общие положения</w:t>
      </w:r>
    </w:p>
    <w:p w14:paraId="215542D7" w14:textId="5B2FCFDA"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>при проведении выборов депутатов</w:t>
      </w:r>
      <w:r w:rsidR="00E617F2" w:rsidRPr="00E617F2">
        <w:rPr>
          <w:rFonts w:ascii="Times New Roman" w:hAnsi="Times New Roman" w:cs="Times New Roman"/>
          <w:sz w:val="28"/>
          <w:szCs w:val="28"/>
        </w:rPr>
        <w:t xml:space="preserve"> Совета депутатов Хлевенского муниципального округа Липецкой области Российской Федерации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E617F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br/>
        <w:t xml:space="preserve">Хлевенского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14:paraId="597637A4" w14:textId="00A25550"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14:paraId="27417E39" w14:textId="0313859F"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14:paraId="16941CE9" w14:textId="72D2435B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14:paraId="4B25E611" w14:textId="46DCF596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14:paraId="07F808B3" w14:textId="30DFADF5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14:paraId="51726B6E" w14:textId="6C707A71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7B262087" w14:textId="4E34567D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14:paraId="00BADF1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14:paraId="23760C82" w14:textId="223BEEC9"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14:paraId="131F7FFD" w14:textId="36DB383F"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перемещении избирательных бюллетеней из ящиков для голосования в сейф-пакеты и их хранении;</w:t>
      </w:r>
    </w:p>
    <w:p w14:paraId="02CA9575" w14:textId="742D45CF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14:paraId="30D46A81" w14:textId="1E51E1D4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14:paraId="6006B383" w14:textId="284E7219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E617F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Хлевенского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14:paraId="2EECF595" w14:textId="54F1D524"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E617F2">
        <w:rPr>
          <w:rFonts w:ascii="Times New Roman" w:hAnsi="Times New Roman" w:cs="Times New Roman"/>
          <w:sz w:val="28"/>
          <w:szCs w:val="28"/>
        </w:rPr>
        <w:t>четырех</w:t>
      </w:r>
      <w:r w:rsidR="00377A4E">
        <w:rPr>
          <w:rFonts w:ascii="Times New Roman" w:hAnsi="Times New Roman" w:cs="Times New Roman"/>
          <w:sz w:val="28"/>
          <w:szCs w:val="28"/>
        </w:rPr>
        <w:t>мандатному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14:paraId="7ED77B3C" w14:textId="214EC9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14:paraId="2B9FACED" w14:textId="0C7BE57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14:paraId="27B9CAF4" w14:textId="49E4906E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14:paraId="7319FBAA" w14:textId="7FF86658"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B4202D" w14:textId="4DE44D6E"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E617F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Хлевенского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14:paraId="1C4354BD" w14:textId="2CC77101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8631CA" w14:textId="3D683510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3A310579" w14:textId="3D14EA0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E617F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Хлевенского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05ABCCCD" w14:textId="56258EA1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14:paraId="25D98AF4" w14:textId="77777777"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14:paraId="25B46EE3" w14:textId="638511EF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бюллетеней из переносного (стационарного) ящика для голосования в сейф-пакеты – табличка «Перемещение бюллетеней в сейф-пакеты»;</w:t>
      </w:r>
    </w:p>
    <w:p w14:paraId="4C6D45A3" w14:textId="0B4CF485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запечатывание сейф-пакетов – «Запечатывание сейф-пакетов»;</w:t>
      </w:r>
    </w:p>
    <w:p w14:paraId="171551EA" w14:textId="50BCCDB9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14:paraId="27F42D5D" w14:textId="37BB6AF9"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сейф-пакетов – «Извлечение бюллетеней из сейф-пакетов».</w:t>
      </w:r>
    </w:p>
    <w:p w14:paraId="00E1003F" w14:textId="2D41788E"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сейф-пакеты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14:paraId="5C867CEF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3BD8F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14:paraId="293BDD89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14:paraId="78AE884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F6F93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14:paraId="17583B70" w14:textId="79DD8862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14:paraId="7D68B684" w14:textId="41DD0A6B"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>места перемещения бюллетеней из ящиков для голосования в сейф-пакеты; сейф (металлический шкаф, металлический ящик), где хранятся сейф-пакеты с бюллетенями проголосовавших избирателей;</w:t>
      </w:r>
    </w:p>
    <w:p w14:paraId="2EECF3C8" w14:textId="72774CB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2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2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14:paraId="53510D0E" w14:textId="7E3B8C8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14:paraId="676EC446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14:paraId="25670B8A" w14:textId="36F8FBD1"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14:paraId="26DEF16C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14:paraId="51E09121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14:paraId="2F2C711C" w14:textId="4229567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C1C0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14:paraId="20CB549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378F2DB" w14:textId="734BB692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14:paraId="420998C5" w14:textId="71287B14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45838" w14:textId="4BDCA4FC"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14:paraId="053695E9" w14:textId="434D450B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21C50B" w14:textId="6EAE7A5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14:paraId="1C90EFB8" w14:textId="586C18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92C93" w14:textId="0EB3D297"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Хлевенского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14:paraId="353FEF3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14:paraId="70C9463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982E2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14:paraId="0D30988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14:paraId="1C57D8E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712893F8" w14:textId="6E355FA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14:paraId="3CC17593" w14:textId="7364695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="00E617F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избирательная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14:paraId="64C8523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14:paraId="740691DE" w14:textId="5C2F2F7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14:paraId="3B16F0F4" w14:textId="17756FB9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268B7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14:paraId="33C24C39" w14:textId="21D0099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14:paraId="3FF2EC7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14:paraId="65666F30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47C1A" w14:textId="4B2ED9E6"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E617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Хлевенского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14:paraId="443E8ACD" w14:textId="77777777"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34D59" w14:textId="69E9AA7E"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14:paraId="5EDABB75" w14:textId="7C0BEE3F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134541" w14:textId="7EEC6EA6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9E1B" w14:textId="5B347A3A"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14:paraId="25D43BC4" w14:textId="35B2D2BC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F9E9A" w14:textId="0C6A769B"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</w:t>
      </w:r>
      <w:r w:rsidR="00E617F2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ТИК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14:paraId="5A058C64" w14:textId="3FC4B27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14:paraId="21E7CF64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14:paraId="550BFAD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14:paraId="47A380FE" w14:textId="381DC84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</w:t>
      </w:r>
      <w:r w:rsidR="00E617F2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ТИК</w:t>
      </w:r>
      <w:r w:rsidR="00E617F2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7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87D8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14:paraId="03142AB7" w14:textId="77777777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7B76853" w14:textId="78B2193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14:paraId="122A1AB0" w14:textId="4BC70C5D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E96F2" w14:textId="231060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14:paraId="0601A6EC" w14:textId="7C2391D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14:paraId="086D5985" w14:textId="6474DEA9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14:paraId="15963343" w14:textId="2AB9C5C4"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14:paraId="0D61BC96" w14:textId="2A364E9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14:paraId="798C783E" w14:textId="7A8A4CB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14:paraId="1CEDD3BE" w14:textId="5F9F34E5"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31417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0E52E" w14:textId="0C38E3D4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14:paraId="50C508A6" w14:textId="08B78DB1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14:paraId="31E9BAB9" w14:textId="59228D72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6EAD0CB1" w14:textId="51B82D29"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CCD90F" w14:textId="71C3C863"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65336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проведение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14:paraId="70B010E7" w14:textId="09DEE18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14:paraId="3CC6BA7C" w14:textId="73B1BC81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14:paraId="2EED05AF" w14:textId="5D768CA8"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14:paraId="55FFCDDC" w14:textId="3B679CF8"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94F1B" w14:textId="3BF033E5"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086744" w14:textId="31274956"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14:paraId="1BACA503" w14:textId="1F108FE6"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14:paraId="23B45AB0" w14:textId="4A3A09AC"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14:paraId="13E57B27" w14:textId="6C7A4A3E"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A54936">
        <w:rPr>
          <w:rFonts w:ascii="Times New Roman" w:hAnsi="Times New Roman" w:cs="Times New Roman"/>
          <w:sz w:val="28"/>
          <w:szCs w:val="28"/>
        </w:rPr>
        <w:t>четырех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52A9F2" w14:textId="2B22D22E"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14:paraId="2C4E6156" w14:textId="68B11653"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A549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</w:t>
      </w:r>
      <w:r w:rsidR="006929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54382C" w14:textId="65A9EAAA" w:rsidR="004B0752" w:rsidRPr="004B0752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A54936" w:rsidRPr="00A54936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Совета депутатов Хлевенского муниципального округа Липецкой области Российской Федерации первого созыва </w:t>
      </w:r>
    </w:p>
    <w:p w14:paraId="1BFBD6F0" w14:textId="55F536B2"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A54936" w:rsidRPr="00E617F2">
        <w:rPr>
          <w:rFonts w:ascii="Times New Roman" w:hAnsi="Times New Roman" w:cs="Times New Roman"/>
          <w:sz w:val="28"/>
          <w:szCs w:val="28"/>
        </w:rPr>
        <w:t>Совета депутатов Хлевенского муниципального округа Липецкой области Российской Федерации первого созыва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1DFE" w14:textId="5BAAF44D"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A54936">
        <w:rPr>
          <w:rFonts w:ascii="Times New Roman" w:hAnsi="Times New Roman" w:cs="Times New Roman"/>
          <w:sz w:val="28"/>
          <w:szCs w:val="28"/>
        </w:rPr>
        <w:t>четырех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48162D68" w14:textId="77777777"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14:paraId="15D8D835" w14:textId="4D51DB0A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14:paraId="3AEB3289" w14:textId="79FA97B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A54936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936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14:paraId="6076EFE6" w14:textId="0932355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14:paraId="6A184F6F" w14:textId="76F8F0EC"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14:paraId="2154D6D4" w14:textId="77777777" w:rsidR="00A54936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6068CE5E" w14:textId="4EC238F7" w:rsidR="004B0752" w:rsidRPr="004B0752" w:rsidRDefault="004B0752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C1D533" w14:textId="4D849F95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14:paraId="3A1CD254" w14:textId="593B12C0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BDC152" w14:textId="4E185903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14:paraId="50AE5AB4" w14:textId="2A397A4F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DA853B" w14:textId="406EE541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14:paraId="1935FA1C" w14:textId="4A14658B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14:paraId="46C8B733" w14:textId="7BEA91B6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14:paraId="4635D0DE" w14:textId="67282BA7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14:paraId="199AA0A1" w14:textId="575C36FE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14:paraId="5C10FB02" w14:textId="04B8225C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14:paraId="127A5040" w14:textId="3E337FA6"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(флеш-накопитель, DVD-диск и т.п.).</w:t>
      </w:r>
    </w:p>
    <w:p w14:paraId="79655687" w14:textId="568D1BE3"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A5493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p w14:paraId="0A07E1CD" w14:textId="77777777" w:rsidR="00AA777D" w:rsidRDefault="00AA777D" w:rsidP="00A5493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101"/>
        <w:gridCol w:w="5254"/>
      </w:tblGrid>
      <w:tr w:rsidR="00AA777D" w:rsidRPr="0018637F" w14:paraId="3C787A3F" w14:textId="77777777" w:rsidTr="00AA777D">
        <w:tc>
          <w:tcPr>
            <w:tcW w:w="4101" w:type="dxa"/>
          </w:tcPr>
          <w:p w14:paraId="78F6AA96" w14:textId="77777777"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254" w:type="dxa"/>
            <w:hideMark/>
          </w:tcPr>
          <w:p w14:paraId="2565B512" w14:textId="77777777"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14:paraId="2C729237" w14:textId="6AF5B3E9" w:rsidR="008F531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A54936" w:rsidRPr="00A5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Хлевенского муниципального округа Липецкой области Российской Федерации первого созыва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на </w:t>
            </w:r>
          </w:p>
          <w:p w14:paraId="49E049B5" w14:textId="515B08EF"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7B25EF75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DE3E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4BF0B07D" w14:textId="77777777"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00591B1C" w14:textId="355A2C8F"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14:paraId="7571BF6F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14:paraId="27CA035B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006E7737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4FE21AED" w14:textId="47EA1D08" w:rsidR="009B446A" w:rsidRPr="007C29F8" w:rsidRDefault="000222F9" w:rsidP="000222F9">
      <w:pPr>
        <w:rPr>
          <w:b/>
          <w:kern w:val="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89C69" wp14:editId="2A6CD310">
                <wp:simplePos x="0" y="0"/>
                <wp:positionH relativeFrom="column">
                  <wp:posOffset>3329940</wp:posOffset>
                </wp:positionH>
                <wp:positionV relativeFrom="paragraph">
                  <wp:posOffset>1400175</wp:posOffset>
                </wp:positionV>
                <wp:extent cx="276225" cy="121285"/>
                <wp:effectExtent l="0" t="0" r="28575" b="12065"/>
                <wp:wrapNone/>
                <wp:docPr id="1915098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21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A640DCB"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    </w:pict>
          </mc:Fallback>
        </mc:AlternateContent>
      </w:r>
      <w:r w:rsidR="009B446A" w:rsidRPr="000222F9">
        <w:rPr>
          <w:noProof/>
          <w:lang w:eastAsia="ru-RU"/>
        </w:rPr>
        <w:drawing>
          <wp:inline distT="0" distB="0" distL="0" distR="0" wp14:anchorId="7E9D4D0A" wp14:editId="4F18D7BF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FE55E" w14:textId="77777777"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14:paraId="387F16DF" w14:textId="77777777"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14:paraId="28E0245E" w14:textId="6819659A"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7BC61DA0" w14:textId="77777777"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headerReference w:type="first" r:id="rId12"/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5"/>
        <w:gridCol w:w="5525"/>
      </w:tblGrid>
      <w:tr w:rsidR="0018637F" w:rsidRPr="0018637F" w14:paraId="1F02FC6E" w14:textId="77777777" w:rsidTr="00C87257">
        <w:tc>
          <w:tcPr>
            <w:tcW w:w="4075" w:type="dxa"/>
          </w:tcPr>
          <w:p w14:paraId="5D40350C" w14:textId="77777777"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14:paraId="033FE82D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14:paraId="45BABF85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14:paraId="70F5C13C" w14:textId="1D471EF5"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A54936" w:rsidRPr="00A5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Хлевенского муниципального округа Липецкой области Российской Федерации первого созыва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509AD583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5EFDDC5A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14:paraId="4BFB59C3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04AF6B5B" w14:textId="77777777"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14:paraId="58B6298B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14:paraId="5F64AF22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14:paraId="349F8BEF" w14:textId="7D82A2A3"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14:paraId="67C82ED5" w14:textId="5ED85F2B"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14:paraId="05B98783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39904FCF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14:paraId="705279E9" w14:textId="77777777"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271BC4F3" w14:textId="77777777"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14:paraId="683C5486" w14:textId="77777777"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8"/>
        <w:gridCol w:w="3226"/>
        <w:gridCol w:w="5986"/>
      </w:tblGrid>
      <w:tr w:rsidR="0018637F" w:rsidRPr="0018637F" w14:paraId="393E182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5F67EE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23048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70AA3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14:paraId="5FE5EA0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308D6C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AE1D22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14:paraId="7DA08454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0188B3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14:paraId="4D3946BE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4F244C" w14:textId="77777777"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303BB9" w14:textId="77777777"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6FDFF4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14:paraId="08EF72E1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бесперебойное обеспечение электроэнергией на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объекте, с целью уточнения сроков восстановления энергоснабжения;</w:t>
            </w:r>
          </w:p>
          <w:p w14:paraId="6516DB8B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14:paraId="38F155BA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14:paraId="1D7283DC" w14:textId="1E793D17"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14:paraId="56A07E02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5BCD3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DCFA9E" w14:textId="77777777"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7635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14:paraId="45FB595F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14:paraId="660EED2A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65AD4750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14:paraId="4395A6D9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14:paraId="5F2EA40D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подписывается в двух экземплярах акт восстановления работоспособности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14:paraId="2A249992" w14:textId="4D829927"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EB9AEB" w14:textId="77777777"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14:paraId="667F18BE" w14:textId="7B1974C6"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14:paraId="0E88768C" w14:textId="351C14FB"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C5452C" w:rsidRPr="00C54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Хлевенского муниципального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14:paraId="34E50ED6" w14:textId="2A014A34"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1E6E02D6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14:paraId="7D6F7BFE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14:paraId="203FFE9F" w14:textId="20264079" w:rsidR="00AA777D" w:rsidRPr="0018637F" w:rsidRDefault="00AA777D" w:rsidP="00C5452C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(помещении территориальной избирательной комиссии</w:t>
      </w:r>
      <w:r w:rsidR="00C545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Хлевенского района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  <w:r w:rsidRPr="0018637F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</w:t>
      </w:r>
    </w:p>
    <w:p w14:paraId="5217DED8" w14:textId="1EC8EBF0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C5452C" w:rsidRPr="00C5452C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Совета депутатов Хлевенского 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p w14:paraId="5276EB1A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14:paraId="55B1ACA5" w14:textId="77777777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B28C8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C52D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6871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14:paraId="29CFF1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77CEC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452420" w14:textId="77777777"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87CC6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A1B2F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14:paraId="6B0C9CAB" w14:textId="77777777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3916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16723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282B8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9BB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4C02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0EB3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1B8002" w14:textId="77777777"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0A91F6" w14:textId="77777777"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8E5D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B5A1C9" w14:textId="77777777"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14:paraId="6C0A5FB7" w14:textId="77777777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E347AD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41A5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6FB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728E8B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D32AC9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1D3504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87A5AE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BEC2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CED215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E41A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14:paraId="1D23D9D2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06CF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51D5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8F32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554B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EFF5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9AD39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520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C02D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643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E06B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2F781CFF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680A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980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AB8F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D88C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94F3D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B45C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902EB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C28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8D4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19EBC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9DA93E1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D305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343A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6186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1F9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F7A8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C331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F1772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45B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F551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3E7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7A3A99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809A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779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E4C2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C30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2D7C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C6AF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70941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E3B0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C55E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9A7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7E901F0D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26EC8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4CD4E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9178C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3BE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CCB0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6130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3D53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7A6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F32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C22E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D4A2F93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0442C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8400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17E21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499DD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3A1DB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408E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611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FEEC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758A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0BFC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351A032E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10050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9DA34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8E9E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4081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86A3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C0DCC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1F19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D218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B96A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CE518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28E0EA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8C77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08EC3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A8E2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0BA93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6846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AFA5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2720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C9C8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AEC7B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312A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14:paraId="595E3086" w14:textId="77777777"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5A315A5" w14:textId="77777777"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14:paraId="183C58AB" w14:textId="77777777"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0522A" w14:textId="77777777" w:rsidR="00026AF1" w:rsidRDefault="00026AF1" w:rsidP="00591E6C">
      <w:pPr>
        <w:spacing w:after="0" w:line="240" w:lineRule="auto"/>
      </w:pPr>
      <w:r>
        <w:separator/>
      </w:r>
    </w:p>
  </w:endnote>
  <w:endnote w:type="continuationSeparator" w:id="0">
    <w:p w14:paraId="7473B06D" w14:textId="77777777" w:rsidR="00026AF1" w:rsidRDefault="00026AF1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8E2AD" w14:textId="77777777" w:rsidR="00026AF1" w:rsidRDefault="00026AF1" w:rsidP="00591E6C">
      <w:pPr>
        <w:spacing w:after="0" w:line="240" w:lineRule="auto"/>
      </w:pPr>
      <w:r>
        <w:separator/>
      </w:r>
    </w:p>
  </w:footnote>
  <w:footnote w:type="continuationSeparator" w:id="0">
    <w:p w14:paraId="347EF74E" w14:textId="77777777" w:rsidR="00026AF1" w:rsidRDefault="00026AF1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3174C" w14:textId="441EE295" w:rsidR="00C87257" w:rsidRDefault="00C87257" w:rsidP="00C87257">
    <w:pPr>
      <w:jc w:val="center"/>
    </w:pPr>
  </w:p>
  <w:p w14:paraId="18A0D12C" w14:textId="77777777" w:rsidR="00C87257" w:rsidRPr="00835711" w:rsidRDefault="00C87257" w:rsidP="00C87257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E92A1" w14:textId="77777777" w:rsidR="0018637F" w:rsidRDefault="0018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478E7">
      <w:rPr>
        <w:noProof/>
      </w:rPr>
      <w:t>3</w:t>
    </w:r>
    <w:r>
      <w:fldChar w:fldCharType="end"/>
    </w:r>
  </w:p>
  <w:p w14:paraId="1C3BECE1" w14:textId="77777777" w:rsidR="0018637F" w:rsidRDefault="001863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11A94"/>
    <w:rsid w:val="000222F9"/>
    <w:rsid w:val="00026AF1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0B40"/>
    <w:rsid w:val="00171E2B"/>
    <w:rsid w:val="00173834"/>
    <w:rsid w:val="00185134"/>
    <w:rsid w:val="0018637F"/>
    <w:rsid w:val="00190412"/>
    <w:rsid w:val="0019635E"/>
    <w:rsid w:val="001A1580"/>
    <w:rsid w:val="001A6CFF"/>
    <w:rsid w:val="001B66BA"/>
    <w:rsid w:val="001C5EF4"/>
    <w:rsid w:val="001C6AFA"/>
    <w:rsid w:val="001C6E7A"/>
    <w:rsid w:val="001D33AF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4327C"/>
    <w:rsid w:val="002478E7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14177"/>
    <w:rsid w:val="00321B08"/>
    <w:rsid w:val="00337940"/>
    <w:rsid w:val="00346A1A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66A05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685D"/>
    <w:rsid w:val="00535A52"/>
    <w:rsid w:val="0053670C"/>
    <w:rsid w:val="00537AFD"/>
    <w:rsid w:val="005432A2"/>
    <w:rsid w:val="00545EA8"/>
    <w:rsid w:val="005543F2"/>
    <w:rsid w:val="00555760"/>
    <w:rsid w:val="00561FE4"/>
    <w:rsid w:val="00563475"/>
    <w:rsid w:val="00576799"/>
    <w:rsid w:val="00591E6C"/>
    <w:rsid w:val="005A0D80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3364"/>
    <w:rsid w:val="006540D6"/>
    <w:rsid w:val="00657D58"/>
    <w:rsid w:val="00676518"/>
    <w:rsid w:val="0067719C"/>
    <w:rsid w:val="006929C9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4D55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6F89"/>
    <w:rsid w:val="00777043"/>
    <w:rsid w:val="00777244"/>
    <w:rsid w:val="007848B6"/>
    <w:rsid w:val="00790E53"/>
    <w:rsid w:val="007917CC"/>
    <w:rsid w:val="007921EA"/>
    <w:rsid w:val="0079260D"/>
    <w:rsid w:val="00796845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34F1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3820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2C62"/>
    <w:rsid w:val="009E66A5"/>
    <w:rsid w:val="009F19A6"/>
    <w:rsid w:val="009F19C3"/>
    <w:rsid w:val="009F5A61"/>
    <w:rsid w:val="009F5FFD"/>
    <w:rsid w:val="00A01D4C"/>
    <w:rsid w:val="00A05233"/>
    <w:rsid w:val="00A144EF"/>
    <w:rsid w:val="00A20819"/>
    <w:rsid w:val="00A25125"/>
    <w:rsid w:val="00A346C5"/>
    <w:rsid w:val="00A416E4"/>
    <w:rsid w:val="00A514A3"/>
    <w:rsid w:val="00A51E49"/>
    <w:rsid w:val="00A54936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1448"/>
    <w:rsid w:val="00C0317A"/>
    <w:rsid w:val="00C2125D"/>
    <w:rsid w:val="00C21AA4"/>
    <w:rsid w:val="00C2609B"/>
    <w:rsid w:val="00C32230"/>
    <w:rsid w:val="00C327C4"/>
    <w:rsid w:val="00C40803"/>
    <w:rsid w:val="00C436E5"/>
    <w:rsid w:val="00C5452C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C5BE0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3668A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617F2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57580"/>
    <w:rsid w:val="00F650CA"/>
    <w:rsid w:val="00F659D6"/>
    <w:rsid w:val="00F84E31"/>
    <w:rsid w:val="00F8658E"/>
    <w:rsid w:val="00F91670"/>
    <w:rsid w:val="00F93896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2BF2A-43D8-4310-A779-6E0E6723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26</Pages>
  <Words>5891</Words>
  <Characters>33584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2025-07-17T07:04:00Z</cp:lastPrinted>
  <dcterms:created xsi:type="dcterms:W3CDTF">2025-07-18T07:26:00Z</dcterms:created>
  <dcterms:modified xsi:type="dcterms:W3CDTF">2025-09-01T10:40:00Z</dcterms:modified>
</cp:coreProperties>
</file>